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b/>
          <w:color w:val="auto"/>
          <w:sz w:val="28"/>
          <w:lang w:val="es-ES_tradnl"/>
        </w:rPr>
      </w:pPr>
      <w:r>
        <w:rPr>
          <w:rFonts w:ascii="Century Schoolbook" w:hAnsi="Century Schoolbook"/>
          <w:b/>
          <w:color w:val="auto"/>
          <w:sz w:val="28"/>
          <w:lang w:val="es-ES_tradnl"/>
        </w:rPr>
        <w:t>HISTORIA DE LA PROVINCIA DE VILLA CLARA</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b/>
          <w:color w:val="auto"/>
          <w:sz w:val="28"/>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b/>
          <w:color w:val="auto"/>
          <w:sz w:val="28"/>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b/>
          <w:i/>
          <w:color w:val="auto"/>
          <w:lang w:val="es-ES_tradnl"/>
        </w:rPr>
      </w:pPr>
      <w:r>
        <w:rPr>
          <w:rFonts w:ascii="Century Schoolbook" w:hAnsi="Century Schoolbook"/>
          <w:b/>
          <w:i/>
          <w:color w:val="auto"/>
          <w:lang w:val="es-ES_tradnl"/>
        </w:rPr>
        <w:t>DESDE LOS ABORIGENES HASTA 1990</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Century Schoolbook" w:hAnsi="Century Schoolbook"/>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Courier" w:hAnsi="Courier"/>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Courier" w:hAnsi="Courier"/>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Courier" w:hAnsi="Courier"/>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Courier" w:hAnsi="Courier"/>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r>
        <w:rPr>
          <w:rFonts w:ascii="Arial" w:hAnsi="Arial"/>
          <w:b/>
          <w:color w:val="auto"/>
          <w:lang w:val="es-ES_tradnl"/>
        </w:rPr>
        <w:t>HISTORIA DE LA PROVINCIA DE VILLA CLARA</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r>
        <w:rPr>
          <w:rFonts w:ascii="Arial" w:hAnsi="Arial"/>
          <w:b/>
          <w:color w:val="auto"/>
          <w:lang w:val="es-ES_tradnl"/>
        </w:rPr>
        <w:t>PARTE Il. COMUNIDADES ABORÍGENES</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r>
        <w:rPr>
          <w:rFonts w:ascii="Arial" w:hAnsi="Arial"/>
          <w:b/>
          <w:color w:val="auto"/>
          <w:lang w:val="es-ES_tradnl"/>
        </w:rPr>
        <w:t>Autores: Lic. Ramiro Ramírez García</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86" w:right="0"/>
        <w:jc w:val="left"/>
        <w:rPr>
          <w:rFonts w:ascii="Arial" w:hAnsi="Arial"/>
          <w:color w:val="auto"/>
          <w:lang w:val="es-ES_tradnl"/>
        </w:rPr>
      </w:pPr>
      <w:r>
        <w:rPr>
          <w:rFonts w:ascii="Arial" w:hAnsi="Arial"/>
          <w:b/>
          <w:color w:val="auto"/>
          <w:lang w:val="es-ES_tradnl"/>
        </w:rPr>
        <w:t>Lic. Armando Rodríguez Alonso</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left"/>
        <w:rPr>
          <w:rFonts w:ascii="Arial" w:hAnsi="Arial"/>
          <w:color w:val="auto"/>
          <w:lang w:val="es-ES_tradnl"/>
        </w:rPr>
      </w:pP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0"/>
        <w:jc w:val="center"/>
        <w:rPr>
          <w:rFonts w:ascii="Arial" w:hAnsi="Arial"/>
          <w:color w:val="auto"/>
          <w:lang w:val="es-ES_tradnl"/>
        </w:rPr>
      </w:pPr>
      <w:r>
        <w:rPr>
          <w:rFonts w:ascii="Arial" w:hAnsi="Arial"/>
          <w:b/>
          <w:color w:val="auto"/>
          <w:lang w:val="es-ES_tradnl"/>
        </w:rPr>
        <w:t xml:space="preserve">Colaboradores: Lic. Ricardo Salar </w:t>
      </w:r>
      <w:proofErr w:type="spellStart"/>
      <w:r>
        <w:rPr>
          <w:rFonts w:ascii="Arial" w:hAnsi="Arial"/>
          <w:b/>
          <w:color w:val="auto"/>
          <w:lang w:val="es-ES_tradnl"/>
        </w:rPr>
        <w:t>Sotés</w:t>
      </w:r>
      <w:proofErr w:type="spellEnd"/>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Lic. Ricardo Pino Torrens</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Lic. Luis O. Grande González</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Lic. Alfredo Pérez Carratalá</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 xml:space="preserve">Lic. Raúl Villavicencio </w:t>
      </w:r>
      <w:proofErr w:type="spellStart"/>
      <w:r>
        <w:rPr>
          <w:rFonts w:ascii="Arial" w:hAnsi="Arial"/>
          <w:b/>
          <w:color w:val="auto"/>
          <w:lang w:val="es-ES_tradnl"/>
        </w:rPr>
        <w:t>Finalet</w:t>
      </w:r>
      <w:proofErr w:type="spellEnd"/>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 xml:space="preserve">Lic. Alejandro </w:t>
      </w:r>
      <w:proofErr w:type="spellStart"/>
      <w:r>
        <w:rPr>
          <w:rFonts w:ascii="Arial" w:hAnsi="Arial"/>
          <w:b/>
          <w:color w:val="auto"/>
          <w:lang w:val="es-ES_tradnl"/>
        </w:rPr>
        <w:t>Morffi</w:t>
      </w:r>
      <w:proofErr w:type="spellEnd"/>
      <w:r>
        <w:rPr>
          <w:rFonts w:ascii="Arial" w:hAnsi="Arial"/>
          <w:b/>
          <w:color w:val="auto"/>
          <w:lang w:val="es-ES_tradnl"/>
        </w:rPr>
        <w:t xml:space="preserve"> González</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 xml:space="preserve">Lic. Adrián Menéndez </w:t>
      </w:r>
      <w:proofErr w:type="spellStart"/>
      <w:r>
        <w:rPr>
          <w:rFonts w:ascii="Arial" w:hAnsi="Arial"/>
          <w:b/>
          <w:color w:val="auto"/>
          <w:lang w:val="es-ES_tradnl"/>
        </w:rPr>
        <w:t>Pombal</w:t>
      </w:r>
      <w:proofErr w:type="spellEnd"/>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Lic. Ismael Martínez Mérida</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Arial" w:hAnsi="Arial"/>
          <w:color w:val="auto"/>
          <w:lang w:val="es-ES_tradnl"/>
        </w:rPr>
      </w:pPr>
      <w:r>
        <w:rPr>
          <w:rFonts w:ascii="Arial" w:hAnsi="Arial"/>
          <w:b/>
          <w:color w:val="auto"/>
          <w:lang w:val="es-ES_tradnl"/>
        </w:rPr>
        <w:t xml:space="preserve">Lic. </w:t>
      </w:r>
      <w:proofErr w:type="spellStart"/>
      <w:r>
        <w:rPr>
          <w:rFonts w:ascii="Arial" w:hAnsi="Arial"/>
          <w:b/>
          <w:color w:val="auto"/>
          <w:lang w:val="es-ES_tradnl"/>
        </w:rPr>
        <w:t>AramísGarit</w:t>
      </w:r>
      <w:proofErr w:type="spellEnd"/>
      <w:r>
        <w:rPr>
          <w:rFonts w:ascii="Arial" w:hAnsi="Arial"/>
          <w:b/>
          <w:color w:val="auto"/>
          <w:lang w:val="es-ES_tradnl"/>
        </w:rPr>
        <w:t xml:space="preserve"> Hernández</w:t>
      </w:r>
    </w:p>
    <w:p w:rsidR="00395C63" w:rsidRDefault="00395C63" w:rsidP="00395C63">
      <w:pPr>
        <w:pStyle w:val="Textoindependiente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253" w:right="0"/>
        <w:jc w:val="left"/>
        <w:rPr>
          <w:rFonts w:ascii="Courier" w:hAnsi="Courier"/>
          <w:color w:val="auto"/>
          <w:lang w:val="es-ES_tradnl"/>
        </w:rPr>
      </w:pPr>
      <w:r>
        <w:rPr>
          <w:rFonts w:ascii="Arial" w:hAnsi="Arial"/>
          <w:b/>
          <w:color w:val="auto"/>
          <w:lang w:val="es-ES_tradnl"/>
        </w:rPr>
        <w:t xml:space="preserve">Lic. Miguel </w:t>
      </w:r>
      <w:proofErr w:type="spellStart"/>
      <w:r>
        <w:rPr>
          <w:rFonts w:ascii="Arial" w:hAnsi="Arial"/>
          <w:b/>
          <w:color w:val="auto"/>
          <w:lang w:val="es-ES_tradnl"/>
        </w:rPr>
        <w:t>Angel</w:t>
      </w:r>
      <w:proofErr w:type="spellEnd"/>
      <w:r>
        <w:rPr>
          <w:rFonts w:ascii="Arial" w:hAnsi="Arial"/>
          <w:b/>
          <w:color w:val="auto"/>
          <w:lang w:val="es-ES_tradnl"/>
        </w:rPr>
        <w:t xml:space="preserve"> Rodríguez García</w:t>
      </w:r>
    </w:p>
    <w:p w:rsidR="004963FF" w:rsidRPr="00E460B3" w:rsidRDefault="00395C63" w:rsidP="005E2F8B">
      <w:pPr>
        <w:spacing w:line="360" w:lineRule="auto"/>
        <w:ind w:left="-1134" w:right="-1135"/>
        <w:jc w:val="center"/>
        <w:rPr>
          <w:rFonts w:ascii="Arial" w:hAnsi="Arial"/>
          <w:b/>
          <w:sz w:val="24"/>
          <w:szCs w:val="24"/>
        </w:rPr>
      </w:pPr>
      <w:r>
        <w:rPr>
          <w:rFonts w:ascii="Arial" w:hAnsi="Arial"/>
          <w:sz w:val="22"/>
        </w:rPr>
        <w:br w:type="page"/>
      </w:r>
      <w:r w:rsidRPr="005E2F8B">
        <w:rPr>
          <w:rFonts w:ascii="Arial" w:hAnsi="Arial"/>
          <w:b/>
          <w:sz w:val="24"/>
          <w:szCs w:val="24"/>
          <w:highlight w:val="yellow"/>
        </w:rPr>
        <w:lastRenderedPageBreak/>
        <w:t>Fragmentos</w:t>
      </w:r>
      <w:r w:rsidR="00904F87" w:rsidRPr="005E2F8B">
        <w:rPr>
          <w:rFonts w:ascii="Arial" w:hAnsi="Arial"/>
          <w:b/>
          <w:sz w:val="24"/>
          <w:szCs w:val="24"/>
          <w:highlight w:val="yellow"/>
        </w:rPr>
        <w:t xml:space="preserve"> de la parte II</w:t>
      </w:r>
      <w:r w:rsidR="00E7232A">
        <w:rPr>
          <w:rFonts w:ascii="Arial" w:hAnsi="Arial"/>
          <w:b/>
          <w:sz w:val="24"/>
          <w:szCs w:val="24"/>
        </w:rPr>
        <w:t xml:space="preserve">. </w:t>
      </w:r>
      <w:r w:rsidR="00E7232A" w:rsidRPr="00E7232A">
        <w:rPr>
          <w:rFonts w:ascii="Arial" w:hAnsi="Arial"/>
          <w:b/>
          <w:sz w:val="24"/>
          <w:szCs w:val="24"/>
          <w:highlight w:val="yellow"/>
        </w:rPr>
        <w:t>Pág. 31-93</w:t>
      </w:r>
    </w:p>
    <w:p w:rsidR="007D3953" w:rsidRPr="007D3953" w:rsidRDefault="007D3953" w:rsidP="005E2F8B">
      <w:pPr>
        <w:widowControl w:val="0"/>
        <w:spacing w:line="360" w:lineRule="auto"/>
        <w:ind w:left="-1134" w:right="-1135"/>
        <w:jc w:val="both"/>
        <w:rPr>
          <w:rFonts w:ascii="Arial" w:hAnsi="Arial"/>
          <w:b/>
          <w:sz w:val="24"/>
          <w:szCs w:val="24"/>
        </w:rPr>
      </w:pPr>
      <w:r w:rsidRPr="007D3953">
        <w:rPr>
          <w:rFonts w:ascii="Arial" w:hAnsi="Arial"/>
          <w:b/>
          <w:sz w:val="24"/>
          <w:szCs w:val="24"/>
        </w:rPr>
        <w:t>CAPITULO I</w:t>
      </w:r>
    </w:p>
    <w:p w:rsidR="007D3953" w:rsidRPr="007D3953" w:rsidRDefault="007D3953" w:rsidP="005E2F8B">
      <w:pPr>
        <w:widowControl w:val="0"/>
        <w:spacing w:line="360" w:lineRule="auto"/>
        <w:ind w:left="-1134" w:right="-1135"/>
        <w:jc w:val="both"/>
        <w:rPr>
          <w:rFonts w:ascii="Arial" w:hAnsi="Arial"/>
          <w:sz w:val="24"/>
          <w:szCs w:val="24"/>
        </w:rPr>
      </w:pPr>
      <w:r w:rsidRPr="007D3953">
        <w:rPr>
          <w:rFonts w:ascii="Arial" w:hAnsi="Arial"/>
          <w:b/>
          <w:sz w:val="24"/>
          <w:szCs w:val="24"/>
        </w:rPr>
        <w:t>ETAPA DE ECONOMÍA DE APROPIACIÓN. LAS COMUNIDADES PALEOLÍTICAS</w:t>
      </w:r>
    </w:p>
    <w:p w:rsidR="00E11F5E" w:rsidRPr="00E11F5E" w:rsidRDefault="00E11F5E" w:rsidP="005F5B88">
      <w:pPr>
        <w:widowControl w:val="0"/>
        <w:spacing w:line="360" w:lineRule="auto"/>
        <w:ind w:left="-1134" w:right="-1135"/>
        <w:jc w:val="both"/>
        <w:rPr>
          <w:rFonts w:ascii="Arial" w:hAnsi="Arial"/>
          <w:sz w:val="24"/>
          <w:szCs w:val="24"/>
        </w:rPr>
      </w:pPr>
      <w:r w:rsidRPr="00E11F5E">
        <w:rPr>
          <w:rFonts w:ascii="Arial" w:hAnsi="Arial"/>
          <w:b/>
          <w:sz w:val="24"/>
          <w:szCs w:val="24"/>
        </w:rPr>
        <w:t>1.2.2 El territorio villaclareño pre-colombino</w:t>
      </w:r>
    </w:p>
    <w:p w:rsidR="000D1F5C" w:rsidRPr="00E11F5E" w:rsidRDefault="00E11F5E" w:rsidP="005F5B88">
      <w:pPr>
        <w:widowControl w:val="0"/>
        <w:spacing w:line="360" w:lineRule="auto"/>
        <w:ind w:left="-1134" w:right="-1135"/>
        <w:jc w:val="both"/>
        <w:rPr>
          <w:rFonts w:ascii="Arial" w:hAnsi="Arial"/>
          <w:sz w:val="24"/>
          <w:szCs w:val="24"/>
        </w:rPr>
      </w:pPr>
      <w:r w:rsidRPr="00E11F5E">
        <w:rPr>
          <w:rFonts w:ascii="Arial" w:hAnsi="Arial"/>
          <w:sz w:val="24"/>
          <w:szCs w:val="24"/>
        </w:rPr>
        <w:t xml:space="preserve"> El presente estudio se realiza sobre el centro-norte de Cuba, donde estuvieron asentadas comunidades aborígenes de diferentes niveles de desarrollo. Nuestro actual territorio villaclareño es solo una porción de un gran territorio indígena precolombino con incidencia, de un modo u otro, de varios cacicazgos entre los que se destacan (según criterios del erudito José María de la Torre, en base a los cronistas de Indias y las cartas de relación tempranas), </w:t>
      </w:r>
      <w:proofErr w:type="spellStart"/>
      <w:r w:rsidRPr="00E11F5E">
        <w:rPr>
          <w:rFonts w:ascii="Arial" w:hAnsi="Arial"/>
          <w:sz w:val="24"/>
          <w:szCs w:val="24"/>
        </w:rPr>
        <w:t>Guamuhaya</w:t>
      </w:r>
      <w:proofErr w:type="spellEnd"/>
      <w:r w:rsidRPr="00E11F5E">
        <w:rPr>
          <w:rFonts w:ascii="Arial" w:hAnsi="Arial"/>
          <w:sz w:val="24"/>
          <w:szCs w:val="24"/>
        </w:rPr>
        <w:t xml:space="preserve">, </w:t>
      </w:r>
      <w:proofErr w:type="spellStart"/>
      <w:r w:rsidRPr="00E11F5E">
        <w:rPr>
          <w:rFonts w:ascii="Arial" w:hAnsi="Arial"/>
          <w:sz w:val="24"/>
          <w:szCs w:val="24"/>
        </w:rPr>
        <w:t>Cubanacán</w:t>
      </w:r>
      <w:proofErr w:type="spellEnd"/>
      <w:r w:rsidRPr="00E11F5E">
        <w:rPr>
          <w:rFonts w:ascii="Arial" w:hAnsi="Arial"/>
          <w:sz w:val="24"/>
          <w:szCs w:val="24"/>
        </w:rPr>
        <w:t xml:space="preserve">, </w:t>
      </w:r>
      <w:proofErr w:type="spellStart"/>
      <w:r w:rsidRPr="00E11F5E">
        <w:rPr>
          <w:rFonts w:ascii="Arial" w:hAnsi="Arial"/>
          <w:sz w:val="24"/>
          <w:szCs w:val="24"/>
        </w:rPr>
        <w:t>Ornofay</w:t>
      </w:r>
      <w:proofErr w:type="spellEnd"/>
      <w:r w:rsidRPr="00E11F5E">
        <w:rPr>
          <w:rFonts w:ascii="Arial" w:hAnsi="Arial"/>
          <w:sz w:val="24"/>
          <w:szCs w:val="24"/>
        </w:rPr>
        <w:t xml:space="preserve"> y Sabana o </w:t>
      </w:r>
      <w:proofErr w:type="spellStart"/>
      <w:r w:rsidRPr="00E11F5E">
        <w:rPr>
          <w:rFonts w:ascii="Arial" w:hAnsi="Arial"/>
          <w:sz w:val="24"/>
          <w:szCs w:val="24"/>
        </w:rPr>
        <w:t>Sabaneque</w:t>
      </w:r>
      <w:proofErr w:type="spellEnd"/>
      <w:r w:rsidRPr="00E11F5E">
        <w:rPr>
          <w:rFonts w:ascii="Arial" w:hAnsi="Arial"/>
          <w:sz w:val="24"/>
          <w:szCs w:val="24"/>
        </w:rPr>
        <w:t>. Este último, que fue el de mayor incidencia en la que hoy es Villa Clara, tenía una extensión de unos 10 000 km</w:t>
      </w:r>
      <w:r w:rsidRPr="00E11F5E">
        <w:rPr>
          <w:rFonts w:ascii="Arial" w:hAnsi="Arial"/>
          <w:sz w:val="24"/>
          <w:szCs w:val="24"/>
          <w:vertAlign w:val="superscript"/>
        </w:rPr>
        <w:t>2</w:t>
      </w:r>
      <w:r w:rsidRPr="00E11F5E">
        <w:rPr>
          <w:rFonts w:ascii="Arial" w:hAnsi="Arial"/>
          <w:sz w:val="24"/>
          <w:szCs w:val="24"/>
        </w:rPr>
        <w:t>, llegaba por el este hasta Camagüey y por el oeste hasta Matanzas. Abarcaba, por tanto, un amplio territorio que hoy se comparte con varias provincias, con independencia de la zona insular y otros territorios</w:t>
      </w:r>
      <w:r w:rsidR="00967FF9" w:rsidRPr="00E460B3">
        <w:rPr>
          <w:rFonts w:ascii="Arial" w:hAnsi="Arial"/>
          <w:sz w:val="24"/>
          <w:szCs w:val="24"/>
        </w:rPr>
        <w:t xml:space="preserve"> que pudieran tener influencias.</w:t>
      </w:r>
    </w:p>
    <w:p w:rsidR="000D1F5C" w:rsidRPr="000D1F5C" w:rsidRDefault="000D1F5C" w:rsidP="005F5B88">
      <w:pPr>
        <w:widowControl w:val="0"/>
        <w:spacing w:line="360" w:lineRule="auto"/>
        <w:ind w:left="-1134" w:right="-1135"/>
        <w:jc w:val="both"/>
        <w:rPr>
          <w:rFonts w:ascii="Arial" w:hAnsi="Arial"/>
          <w:b/>
          <w:sz w:val="24"/>
          <w:szCs w:val="24"/>
        </w:rPr>
      </w:pPr>
      <w:r w:rsidRPr="000D1F5C">
        <w:rPr>
          <w:rFonts w:ascii="Arial" w:hAnsi="Arial"/>
          <w:b/>
          <w:sz w:val="24"/>
          <w:szCs w:val="24"/>
        </w:rPr>
        <w:t>1.3 Etapa de Economía de Apropiación. Las Comunidades Paleolíticas</w:t>
      </w:r>
    </w:p>
    <w:p w:rsidR="006D094D" w:rsidRPr="006D094D" w:rsidRDefault="006D094D" w:rsidP="00B86F66">
      <w:pPr>
        <w:widowControl w:val="0"/>
        <w:spacing w:line="360" w:lineRule="auto"/>
        <w:ind w:left="-1134" w:right="-1135"/>
        <w:jc w:val="both"/>
        <w:rPr>
          <w:rFonts w:ascii="Arial" w:hAnsi="Arial"/>
          <w:sz w:val="24"/>
          <w:szCs w:val="24"/>
        </w:rPr>
      </w:pPr>
      <w:r w:rsidRPr="006D094D">
        <w:rPr>
          <w:rFonts w:ascii="Arial" w:hAnsi="Arial"/>
          <w:sz w:val="24"/>
          <w:szCs w:val="24"/>
        </w:rPr>
        <w:t xml:space="preserve">El Paleolítico cubano ha sido considerado dentro de la etapa de Economía de Apropiación, en la cual se incluyen todos aquellos grupos que tuvieron una economía basada en la caza, pesca, la recolección y en determinados casos, el cultivo incipiente de plantas, sin que esto último conlleve el criterio de una </w:t>
      </w:r>
      <w:proofErr w:type="spellStart"/>
      <w:r w:rsidRPr="006D094D">
        <w:rPr>
          <w:rFonts w:ascii="Arial" w:hAnsi="Arial"/>
          <w:sz w:val="24"/>
          <w:szCs w:val="24"/>
        </w:rPr>
        <w:t>agriculturalización</w:t>
      </w:r>
      <w:proofErr w:type="spellEnd"/>
      <w:r w:rsidRPr="006D094D">
        <w:rPr>
          <w:rFonts w:ascii="Arial" w:hAnsi="Arial"/>
          <w:sz w:val="24"/>
          <w:szCs w:val="24"/>
        </w:rPr>
        <w:t>.</w:t>
      </w:r>
      <w:r w:rsidR="00E33113">
        <w:rPr>
          <w:rFonts w:ascii="Arial" w:hAnsi="Arial"/>
          <w:sz w:val="24"/>
          <w:szCs w:val="24"/>
        </w:rPr>
        <w:t xml:space="preserve"> </w:t>
      </w:r>
      <w:r w:rsidRPr="006D094D">
        <w:rPr>
          <w:rFonts w:ascii="Arial" w:hAnsi="Arial"/>
          <w:sz w:val="24"/>
          <w:szCs w:val="24"/>
        </w:rPr>
        <w:t xml:space="preserve">Para estos grupos el grado de desarrollo de las fuerzas productivas no era suficiente como para que llegaran a explotar el medio de forma tal que pudieran obtener un excedente, aunque esta apropiación tampoco pudo ser simple, sino un proceso organizado acorde a su nivel de desarrollo. </w:t>
      </w:r>
    </w:p>
    <w:p w:rsidR="00AB1489" w:rsidRDefault="00D10112" w:rsidP="008C2FD1">
      <w:pPr>
        <w:widowControl w:val="0"/>
        <w:spacing w:line="360" w:lineRule="auto"/>
        <w:ind w:left="-1134" w:right="-1135"/>
        <w:jc w:val="both"/>
        <w:rPr>
          <w:rFonts w:ascii="Arial" w:hAnsi="Arial"/>
          <w:sz w:val="24"/>
          <w:szCs w:val="24"/>
        </w:rPr>
      </w:pPr>
      <w:r w:rsidRPr="00D10112">
        <w:rPr>
          <w:rFonts w:ascii="Arial" w:hAnsi="Arial"/>
          <w:sz w:val="24"/>
          <w:szCs w:val="24"/>
        </w:rPr>
        <w:t xml:space="preserve">Su patrón de asentamiento está marcado por la preferencia de áreas despejadas. Se ubicaron entre 100 y </w:t>
      </w:r>
      <w:smartTag w:uri="urn:schemas-microsoft-com:office:smarttags" w:element="metricconverter">
        <w:smartTagPr>
          <w:attr w:name="ProductID" w:val="150 metros"/>
        </w:smartTagPr>
        <w:r w:rsidRPr="00D10112">
          <w:rPr>
            <w:rFonts w:ascii="Arial" w:hAnsi="Arial"/>
            <w:sz w:val="24"/>
            <w:szCs w:val="24"/>
          </w:rPr>
          <w:t>150 metros</w:t>
        </w:r>
      </w:smartTag>
      <w:r w:rsidRPr="00D10112">
        <w:rPr>
          <w:rFonts w:ascii="Arial" w:hAnsi="Arial"/>
          <w:sz w:val="24"/>
          <w:szCs w:val="24"/>
        </w:rPr>
        <w:t xml:space="preserve"> de las corrientes fluviales y </w:t>
      </w:r>
      <w:r w:rsidR="00792944" w:rsidRPr="00D10112">
        <w:rPr>
          <w:rFonts w:ascii="Arial" w:hAnsi="Arial"/>
          <w:sz w:val="24"/>
          <w:szCs w:val="24"/>
        </w:rPr>
        <w:t>próximas</w:t>
      </w:r>
      <w:r w:rsidRPr="00D10112">
        <w:rPr>
          <w:rFonts w:ascii="Arial" w:hAnsi="Arial"/>
          <w:sz w:val="24"/>
          <w:szCs w:val="24"/>
        </w:rPr>
        <w:t xml:space="preserve"> al mar, aunque un grupo de ellos lo hizo un tanto diferenciadamente a los otros, pues se localiza tierra adentro.</w:t>
      </w:r>
      <w:r w:rsidR="00DA109E" w:rsidRPr="00DA109E">
        <w:rPr>
          <w:rFonts w:ascii="Arial" w:hAnsi="Arial"/>
          <w:sz w:val="24"/>
          <w:szCs w:val="24"/>
        </w:rPr>
        <w:t>En correspondencia con el patrón de asentamiento y con la materia prima utilizada por estos grupos cazadores</w:t>
      </w:r>
      <w:r w:rsidR="00285335" w:rsidRPr="00285335">
        <w:rPr>
          <w:rFonts w:ascii="Arial" w:hAnsi="Arial"/>
          <w:sz w:val="24"/>
          <w:szCs w:val="24"/>
        </w:rPr>
        <w:t xml:space="preserve">se ha observado que estos tenían inclinación a la producción de lascas, y sus dimensiones tendían a disminuir. Ello hace suponer que se trata de las propias comunidades que penetraron por </w:t>
      </w:r>
      <w:proofErr w:type="spellStart"/>
      <w:r w:rsidR="00285335" w:rsidRPr="00285335">
        <w:rPr>
          <w:rFonts w:ascii="Arial" w:hAnsi="Arial"/>
          <w:sz w:val="24"/>
          <w:szCs w:val="24"/>
        </w:rPr>
        <w:t>Caibarién</w:t>
      </w:r>
      <w:proofErr w:type="spellEnd"/>
      <w:r w:rsidR="00285335" w:rsidRPr="00285335">
        <w:rPr>
          <w:rFonts w:ascii="Arial" w:hAnsi="Arial"/>
          <w:sz w:val="24"/>
          <w:szCs w:val="24"/>
        </w:rPr>
        <w:t xml:space="preserve"> o sus descendientes, los cuales fueron avanzando poco a poco hacia el oeste y fueran realizando ajustes en su ajuar base, así como cambios en la materia prima, acorde a las disponibilidades existentes en la región y a las variaciones de las actividades </w:t>
      </w:r>
      <w:r w:rsidR="008C2FD1">
        <w:rPr>
          <w:rFonts w:ascii="Arial" w:hAnsi="Arial"/>
          <w:sz w:val="24"/>
          <w:szCs w:val="24"/>
        </w:rPr>
        <w:t xml:space="preserve">de </w:t>
      </w:r>
      <w:r w:rsidR="00285335" w:rsidRPr="00285335">
        <w:rPr>
          <w:rFonts w:ascii="Arial" w:hAnsi="Arial"/>
          <w:sz w:val="24"/>
          <w:szCs w:val="24"/>
        </w:rPr>
        <w:t xml:space="preserve">subsistencia. </w:t>
      </w:r>
    </w:p>
    <w:p w:rsidR="006763EE" w:rsidRPr="006763EE" w:rsidRDefault="00285335" w:rsidP="008C2FD1">
      <w:pPr>
        <w:widowControl w:val="0"/>
        <w:spacing w:line="360" w:lineRule="auto"/>
        <w:ind w:left="-1134" w:right="-1135"/>
        <w:jc w:val="both"/>
        <w:rPr>
          <w:rFonts w:ascii="Arial" w:hAnsi="Arial"/>
          <w:sz w:val="24"/>
          <w:szCs w:val="24"/>
        </w:rPr>
      </w:pPr>
      <w:r w:rsidRPr="00285335">
        <w:rPr>
          <w:rFonts w:ascii="Arial" w:hAnsi="Arial"/>
          <w:sz w:val="24"/>
          <w:szCs w:val="24"/>
        </w:rPr>
        <w:t xml:space="preserve">Todo esto es lógico si tenemos en cuenta que esas comunidades tenían una tradición de caza mayor, hecho que estaba en proporción con las dimensiones de sus herramientas, las que se vieron precisados a ajustar al no encontrar en Cuba esos grandes animales que acostumbraban a cazar en el continente. No obstante estas circunstancias, la caza continuó como una de sus actividades </w:t>
      </w:r>
      <w:r w:rsidRPr="00285335">
        <w:rPr>
          <w:rFonts w:ascii="Arial" w:hAnsi="Arial"/>
          <w:sz w:val="24"/>
          <w:szCs w:val="24"/>
        </w:rPr>
        <w:lastRenderedPageBreak/>
        <w:t>fundamentales. Para realizar esta afirmación se parte del supuesto de que en esa época, tanto en las costas como en el delta de los ríos, abundaban la foca tropical (</w:t>
      </w:r>
      <w:proofErr w:type="spellStart"/>
      <w:r w:rsidRPr="00285335">
        <w:rPr>
          <w:rFonts w:ascii="Arial" w:hAnsi="Arial"/>
          <w:sz w:val="24"/>
          <w:szCs w:val="24"/>
        </w:rPr>
        <w:t>Monachustropicalis</w:t>
      </w:r>
      <w:proofErr w:type="spellEnd"/>
      <w:r w:rsidRPr="00285335">
        <w:rPr>
          <w:rFonts w:ascii="Arial" w:hAnsi="Arial"/>
          <w:sz w:val="24"/>
          <w:szCs w:val="24"/>
        </w:rPr>
        <w:t>) y el manatí (</w:t>
      </w:r>
      <w:proofErr w:type="spellStart"/>
      <w:r w:rsidRPr="00285335">
        <w:rPr>
          <w:rFonts w:ascii="Arial" w:hAnsi="Arial"/>
          <w:sz w:val="24"/>
          <w:szCs w:val="24"/>
        </w:rPr>
        <w:t>Trichechusmanatus</w:t>
      </w:r>
      <w:proofErr w:type="spellEnd"/>
      <w:r w:rsidRPr="00285335">
        <w:rPr>
          <w:rFonts w:ascii="Arial" w:hAnsi="Arial"/>
          <w:sz w:val="24"/>
          <w:szCs w:val="24"/>
        </w:rPr>
        <w:t>). Restos de estas especies se han colectado en distintos lugares de la provincia. Más hacia el interior, en las proximidades de Sagua la Grande y Corralillo, eran frecuentes, al parecer, distintas especies de grandes perezosos (</w:t>
      </w:r>
      <w:proofErr w:type="spellStart"/>
      <w:r w:rsidRPr="00285335">
        <w:rPr>
          <w:rFonts w:ascii="Arial" w:hAnsi="Arial"/>
          <w:sz w:val="24"/>
          <w:szCs w:val="24"/>
        </w:rPr>
        <w:t>Megalocnus</w:t>
      </w:r>
      <w:proofErr w:type="spellEnd"/>
      <w:r w:rsidRPr="00285335">
        <w:rPr>
          <w:rFonts w:ascii="Arial" w:hAnsi="Arial"/>
          <w:sz w:val="24"/>
          <w:szCs w:val="24"/>
        </w:rPr>
        <w:t xml:space="preserve">), cuyos restos han sido encontrados entre las evidencias arqueológicas de estas comunidades, o próximos a ellas, al igual que el de </w:t>
      </w:r>
      <w:proofErr w:type="spellStart"/>
      <w:r w:rsidRPr="00285335">
        <w:rPr>
          <w:rFonts w:ascii="Arial" w:hAnsi="Arial"/>
          <w:sz w:val="24"/>
          <w:szCs w:val="24"/>
        </w:rPr>
        <w:t>mesophontes</w:t>
      </w:r>
      <w:proofErr w:type="spellEnd"/>
      <w:r w:rsidRPr="00285335">
        <w:rPr>
          <w:rFonts w:ascii="Arial" w:hAnsi="Arial"/>
          <w:sz w:val="24"/>
          <w:szCs w:val="24"/>
        </w:rPr>
        <w:t xml:space="preserve"> y diversas especies de jutía.</w:t>
      </w:r>
      <w:r w:rsidR="006763EE" w:rsidRPr="006763EE">
        <w:rPr>
          <w:rFonts w:ascii="Arial" w:hAnsi="Arial"/>
          <w:sz w:val="24"/>
          <w:szCs w:val="24"/>
        </w:rPr>
        <w:t>Complementando la caza, las actividades recolectoras, tanto terrestres como fluviales y marinas, debieron tener gran importancia en la economía de estas comunidades. Recogían todo cuanto les era útil en sus movimientos cíclicos en el territorio, en función del ecosistema explotado.</w:t>
      </w:r>
    </w:p>
    <w:p w:rsidR="006763EE" w:rsidRPr="006763EE" w:rsidRDefault="006763EE" w:rsidP="005F5B88">
      <w:pPr>
        <w:widowControl w:val="0"/>
        <w:spacing w:line="360" w:lineRule="auto"/>
        <w:ind w:left="-1134" w:right="-1135"/>
        <w:jc w:val="both"/>
        <w:rPr>
          <w:rFonts w:ascii="Arial" w:hAnsi="Arial"/>
          <w:sz w:val="24"/>
          <w:szCs w:val="24"/>
        </w:rPr>
      </w:pPr>
      <w:r w:rsidRPr="006763EE">
        <w:rPr>
          <w:rFonts w:ascii="Arial" w:hAnsi="Arial"/>
          <w:sz w:val="24"/>
          <w:szCs w:val="24"/>
        </w:rPr>
        <w:t xml:space="preserve"> Confirman la práctica de estas labores las herramientas obtenidas en estos </w:t>
      </w:r>
      <w:proofErr w:type="spellStart"/>
      <w:r w:rsidRPr="006763EE">
        <w:rPr>
          <w:rFonts w:ascii="Arial" w:hAnsi="Arial"/>
          <w:sz w:val="24"/>
          <w:szCs w:val="24"/>
        </w:rPr>
        <w:t>residuarios</w:t>
      </w:r>
      <w:proofErr w:type="spellEnd"/>
      <w:r w:rsidRPr="006763EE">
        <w:rPr>
          <w:rFonts w:ascii="Arial" w:hAnsi="Arial"/>
          <w:sz w:val="24"/>
          <w:szCs w:val="24"/>
        </w:rPr>
        <w:t>, que están compuestos por láminas (algunas con muescas), cuchillos, puntas de lanza, lascas retocadas, puntas de dardo, tajadores, raspadores, percutores de sílex, perforadores, cepillos, etcétera. Es significativo que estos medios indican un predominio de las actividades extractivas con inclinación hacia la preparación de alimentos.</w:t>
      </w:r>
    </w:p>
    <w:p w:rsidR="0023689A" w:rsidRPr="0023689A" w:rsidRDefault="0023689A" w:rsidP="008C1C2C">
      <w:pPr>
        <w:widowControl w:val="0"/>
        <w:spacing w:line="360" w:lineRule="auto"/>
        <w:ind w:left="-1134" w:right="-1135"/>
        <w:jc w:val="both"/>
        <w:rPr>
          <w:rFonts w:ascii="Arial" w:hAnsi="Arial"/>
          <w:sz w:val="24"/>
          <w:szCs w:val="24"/>
        </w:rPr>
      </w:pPr>
      <w:r w:rsidRPr="0023689A">
        <w:rPr>
          <w:rFonts w:ascii="Arial" w:hAnsi="Arial"/>
          <w:sz w:val="24"/>
          <w:szCs w:val="24"/>
        </w:rPr>
        <w:t>El criterio expuesto en cuanto a la tipología del material colectado y su relación con las actividades extractivas y de apropiación de alimentos, hace suponer una división natural del trabajo, con un simple grado de especialización por sexo y edad. En tal sentido los quehaceres cercanos a lo doméstico, como la recolección de moluscos, crustáceos, frutos y raíces debió ser encomendada a mujeres y niños, mientras que los hombres se dedicaban a las tareas que requerían de mayor fortaleza, velocidad y de la libertad fisiológica masculina de no tener que amamantar a sus hijos, ni pasar por la gestación, por tanto, debieron dedicarse a la caza, captura y otras de mayores riesgos y destreza, que en muchos casos requerían mantenerse alejados por un tiempo del sitio de habitación.</w:t>
      </w:r>
    </w:p>
    <w:p w:rsidR="008C1C2C" w:rsidRPr="00D739F2" w:rsidRDefault="0023689A" w:rsidP="00D739F2">
      <w:pPr>
        <w:widowControl w:val="0"/>
        <w:spacing w:line="360" w:lineRule="auto"/>
        <w:ind w:left="-1134" w:right="-1135"/>
        <w:jc w:val="both"/>
        <w:rPr>
          <w:rFonts w:ascii="Arial" w:hAnsi="Arial"/>
          <w:sz w:val="24"/>
          <w:szCs w:val="24"/>
        </w:rPr>
      </w:pPr>
      <w:r w:rsidRPr="0023689A">
        <w:rPr>
          <w:rFonts w:ascii="Arial" w:hAnsi="Arial"/>
          <w:sz w:val="24"/>
          <w:szCs w:val="24"/>
        </w:rPr>
        <w:t xml:space="preserve"> La unidad básica de organización de estos grupos era la horda, con una escasa cantidad de personas, lo cual está dado por su alta dependencia de la naturaleza y por supuesto, por su poca capacidad tecnológica para producir alimentos. Al mismo tiempo, su integración social precaria les debió dificultar la regulación de ceremonias y ritualismo.En todas estas actividades y en su modo de convivir debió prevalecer el colectivismo y la simple colaboración como exigencia al escaso desarrollo de sus fuerzas productivas, de modo que se pudiera tener algún rendimiento para mantener el grupo humano en cuestión.</w:t>
      </w:r>
    </w:p>
    <w:p w:rsidR="00E460B3" w:rsidRPr="00E460B3" w:rsidRDefault="00E460B3" w:rsidP="008C1C2C">
      <w:pPr>
        <w:widowControl w:val="0"/>
        <w:spacing w:line="360" w:lineRule="auto"/>
        <w:ind w:left="-1134" w:right="-1135"/>
        <w:rPr>
          <w:rFonts w:ascii="Arial" w:hAnsi="Arial"/>
          <w:sz w:val="24"/>
          <w:szCs w:val="24"/>
        </w:rPr>
      </w:pPr>
      <w:r w:rsidRPr="00E460B3">
        <w:rPr>
          <w:rFonts w:ascii="Arial" w:hAnsi="Arial"/>
          <w:b/>
          <w:sz w:val="24"/>
          <w:szCs w:val="24"/>
        </w:rPr>
        <w:t>CAPÍTULO 2</w:t>
      </w:r>
    </w:p>
    <w:p w:rsidR="00107527" w:rsidRPr="00C65277" w:rsidRDefault="00E460B3" w:rsidP="00C65277">
      <w:pPr>
        <w:widowControl w:val="0"/>
        <w:spacing w:line="360" w:lineRule="auto"/>
        <w:ind w:left="-1134" w:right="-1135"/>
        <w:rPr>
          <w:rFonts w:ascii="Arial" w:hAnsi="Arial"/>
          <w:b/>
          <w:sz w:val="24"/>
          <w:szCs w:val="24"/>
        </w:rPr>
      </w:pPr>
      <w:r w:rsidRPr="00E460B3">
        <w:rPr>
          <w:rFonts w:ascii="Arial" w:hAnsi="Arial"/>
          <w:b/>
          <w:sz w:val="24"/>
          <w:szCs w:val="24"/>
        </w:rPr>
        <w:t>ETAPA DE LA ECONOMÍA DE APROPIAC</w:t>
      </w:r>
      <w:r w:rsidR="008C1C2C">
        <w:rPr>
          <w:rFonts w:ascii="Arial" w:hAnsi="Arial"/>
          <w:b/>
          <w:sz w:val="24"/>
          <w:szCs w:val="24"/>
        </w:rPr>
        <w:t xml:space="preserve">IÓN.  LAS COMUNIDADES </w:t>
      </w:r>
      <w:r w:rsidR="00C65277">
        <w:rPr>
          <w:rFonts w:ascii="Arial" w:hAnsi="Arial"/>
          <w:b/>
          <w:sz w:val="24"/>
          <w:szCs w:val="24"/>
        </w:rPr>
        <w:t>MESOLÍTICA</w:t>
      </w:r>
    </w:p>
    <w:p w:rsidR="002A0F5F" w:rsidRPr="002A0F5F" w:rsidRDefault="002A0F5F" w:rsidP="00FE5909">
      <w:pPr>
        <w:widowControl w:val="0"/>
        <w:spacing w:line="360" w:lineRule="auto"/>
        <w:ind w:left="-1134" w:right="-1135"/>
        <w:jc w:val="both"/>
        <w:rPr>
          <w:rFonts w:ascii="Arial" w:hAnsi="Arial"/>
          <w:sz w:val="24"/>
          <w:szCs w:val="24"/>
        </w:rPr>
      </w:pPr>
      <w:r w:rsidRPr="002A0F5F">
        <w:rPr>
          <w:rFonts w:ascii="Arial" w:hAnsi="Arial"/>
          <w:b/>
          <w:sz w:val="24"/>
          <w:szCs w:val="24"/>
        </w:rPr>
        <w:t>2.1 Comunidades Mesolíticas Tempranas</w:t>
      </w:r>
    </w:p>
    <w:p w:rsidR="004D36D7" w:rsidRPr="004D36D7" w:rsidRDefault="004D36D7" w:rsidP="00FE5909">
      <w:pPr>
        <w:spacing w:line="360" w:lineRule="auto"/>
        <w:ind w:left="-1134" w:right="-1135"/>
        <w:jc w:val="both"/>
        <w:rPr>
          <w:rFonts w:ascii="Arial" w:hAnsi="Arial"/>
          <w:sz w:val="24"/>
          <w:szCs w:val="24"/>
        </w:rPr>
      </w:pPr>
      <w:r w:rsidRPr="004D36D7">
        <w:rPr>
          <w:rFonts w:ascii="Arial" w:hAnsi="Arial"/>
          <w:sz w:val="24"/>
          <w:szCs w:val="24"/>
        </w:rPr>
        <w:lastRenderedPageBreak/>
        <w:t xml:space="preserve">Los sitios que se localizan para estas comunidades se establecieron en cuevas, abrigos rocosos y al aire libre, con gran inclinación hacia las zonas costeras, cuencas de las márgenes de los ríos y en toda la </w:t>
      </w:r>
      <w:proofErr w:type="spellStart"/>
      <w:r w:rsidRPr="004D36D7">
        <w:rPr>
          <w:rFonts w:ascii="Arial" w:hAnsi="Arial"/>
          <w:sz w:val="24"/>
          <w:szCs w:val="24"/>
        </w:rPr>
        <w:t>cayería</w:t>
      </w:r>
      <w:proofErr w:type="spellEnd"/>
      <w:r w:rsidRPr="004D36D7">
        <w:rPr>
          <w:rFonts w:ascii="Arial" w:hAnsi="Arial"/>
          <w:sz w:val="24"/>
          <w:szCs w:val="24"/>
        </w:rPr>
        <w:t xml:space="preserve"> norte, donde se encuentra el mayor número de estos </w:t>
      </w:r>
      <w:proofErr w:type="spellStart"/>
      <w:r w:rsidRPr="004D36D7">
        <w:rPr>
          <w:rFonts w:ascii="Arial" w:hAnsi="Arial"/>
          <w:sz w:val="24"/>
          <w:szCs w:val="24"/>
        </w:rPr>
        <w:t>residuarios</w:t>
      </w:r>
      <w:proofErr w:type="spellEnd"/>
      <w:r w:rsidRPr="004D36D7">
        <w:rPr>
          <w:rFonts w:ascii="Arial" w:hAnsi="Arial"/>
          <w:sz w:val="24"/>
          <w:szCs w:val="24"/>
        </w:rPr>
        <w:t>.</w:t>
      </w:r>
    </w:p>
    <w:p w:rsidR="00F51A5F" w:rsidRPr="00F51A5F" w:rsidRDefault="00F51A5F" w:rsidP="00E347C8">
      <w:pPr>
        <w:widowControl w:val="0"/>
        <w:spacing w:line="360" w:lineRule="auto"/>
        <w:ind w:left="-1134" w:right="-1135"/>
        <w:jc w:val="both"/>
        <w:rPr>
          <w:rFonts w:ascii="Arial" w:hAnsi="Arial"/>
          <w:sz w:val="24"/>
          <w:szCs w:val="24"/>
        </w:rPr>
      </w:pPr>
      <w:r w:rsidRPr="00F51A5F">
        <w:rPr>
          <w:rFonts w:ascii="Arial" w:hAnsi="Arial"/>
          <w:b/>
          <w:sz w:val="24"/>
          <w:szCs w:val="24"/>
        </w:rPr>
        <w:t>2.2 Comunidades Mesolíticas Medias</w:t>
      </w:r>
    </w:p>
    <w:p w:rsidR="004D36D7" w:rsidRPr="00E347C8" w:rsidRDefault="00F53BE8" w:rsidP="00E347C8">
      <w:pPr>
        <w:spacing w:line="360" w:lineRule="auto"/>
        <w:ind w:left="-1134" w:right="-1135"/>
        <w:jc w:val="both"/>
        <w:rPr>
          <w:rFonts w:ascii="Arial" w:hAnsi="Arial"/>
          <w:sz w:val="24"/>
          <w:szCs w:val="24"/>
        </w:rPr>
      </w:pPr>
      <w:r w:rsidRPr="00E347C8">
        <w:rPr>
          <w:rFonts w:ascii="Arial" w:hAnsi="Arial"/>
          <w:sz w:val="24"/>
          <w:szCs w:val="24"/>
        </w:rPr>
        <w:t xml:space="preserve">Al observar la ubicación y disposición de los sitios con características análogas a estos grupos, se pueden definir en Villa Clara varias zonas de influencia, que pudieron abarcar parte del litoral hasta las Alturas de la Sierra Morena; proximidades de Rancho Veloz, llegando hasta la zona litoral; Mogotes de </w:t>
      </w:r>
      <w:proofErr w:type="spellStart"/>
      <w:r w:rsidRPr="00E347C8">
        <w:rPr>
          <w:rFonts w:ascii="Arial" w:hAnsi="Arial"/>
          <w:sz w:val="24"/>
          <w:szCs w:val="24"/>
        </w:rPr>
        <w:t>Jumagua</w:t>
      </w:r>
      <w:proofErr w:type="spellEnd"/>
      <w:r w:rsidRPr="00E347C8">
        <w:rPr>
          <w:rFonts w:ascii="Arial" w:hAnsi="Arial"/>
          <w:sz w:val="24"/>
          <w:szCs w:val="24"/>
        </w:rPr>
        <w:t xml:space="preserve"> con sus áreas aledañas; márgenes del río Sagua la Grande; márgenes del río Sagua la Chica hasta Juan Francisco</w:t>
      </w:r>
      <w:r w:rsidR="00B64905">
        <w:rPr>
          <w:rFonts w:ascii="Arial" w:hAnsi="Arial"/>
          <w:sz w:val="24"/>
          <w:szCs w:val="24"/>
        </w:rPr>
        <w:t>; proximidades de Sitio Grande.</w:t>
      </w:r>
    </w:p>
    <w:p w:rsidR="00F53BE8" w:rsidRPr="00E347C8" w:rsidRDefault="00F53BE8" w:rsidP="006D7D1E">
      <w:pPr>
        <w:widowControl w:val="0"/>
        <w:spacing w:line="360" w:lineRule="auto"/>
        <w:ind w:left="-1134" w:right="-1135"/>
        <w:jc w:val="both"/>
        <w:rPr>
          <w:rFonts w:ascii="Arial" w:hAnsi="Arial"/>
          <w:sz w:val="24"/>
          <w:szCs w:val="24"/>
        </w:rPr>
      </w:pPr>
      <w:r w:rsidRPr="00F53BE8">
        <w:rPr>
          <w:rFonts w:ascii="Arial" w:hAnsi="Arial"/>
          <w:b/>
          <w:sz w:val="24"/>
          <w:szCs w:val="24"/>
        </w:rPr>
        <w:t>2.3 Comunidades Mesolíticas Tardías</w:t>
      </w:r>
    </w:p>
    <w:p w:rsidR="004A11E9" w:rsidRPr="00E347C8" w:rsidRDefault="004A11E9" w:rsidP="006D7D1E">
      <w:pPr>
        <w:pStyle w:val="Textoindependiente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1134" w:right="-1135"/>
        <w:jc w:val="both"/>
        <w:rPr>
          <w:rFonts w:ascii="Arial" w:hAnsi="Arial"/>
          <w:color w:val="auto"/>
          <w:szCs w:val="24"/>
          <w:lang w:val="es-ES_tradnl"/>
        </w:rPr>
      </w:pPr>
      <w:r w:rsidRPr="00E347C8">
        <w:rPr>
          <w:rFonts w:ascii="Arial" w:hAnsi="Arial"/>
          <w:szCs w:val="24"/>
        </w:rPr>
        <w:t xml:space="preserve">Dentro de esta denominación, en nuestra provincia se han localizado hasta el </w:t>
      </w:r>
      <w:proofErr w:type="spellStart"/>
      <w:r w:rsidRPr="00E347C8">
        <w:rPr>
          <w:rFonts w:ascii="Arial" w:hAnsi="Arial"/>
          <w:szCs w:val="24"/>
        </w:rPr>
        <w:t>presente</w:t>
      </w:r>
      <w:proofErr w:type="spellEnd"/>
      <w:r w:rsidRPr="00E347C8">
        <w:rPr>
          <w:rFonts w:ascii="Arial" w:hAnsi="Arial"/>
          <w:szCs w:val="24"/>
        </w:rPr>
        <w:t xml:space="preserve">, los </w:t>
      </w:r>
      <w:proofErr w:type="spellStart"/>
      <w:r w:rsidRPr="00E347C8">
        <w:rPr>
          <w:rFonts w:ascii="Arial" w:hAnsi="Arial"/>
          <w:szCs w:val="24"/>
        </w:rPr>
        <w:t>sitios</w:t>
      </w:r>
      <w:proofErr w:type="spellEnd"/>
      <w:r w:rsidRPr="00E347C8">
        <w:rPr>
          <w:rFonts w:ascii="Arial" w:hAnsi="Arial"/>
          <w:szCs w:val="24"/>
        </w:rPr>
        <w:t xml:space="preserve"> "El </w:t>
      </w:r>
      <w:proofErr w:type="spellStart"/>
      <w:r w:rsidRPr="00E347C8">
        <w:rPr>
          <w:rFonts w:ascii="Arial" w:hAnsi="Arial"/>
          <w:szCs w:val="24"/>
        </w:rPr>
        <w:t>Charcón</w:t>
      </w:r>
      <w:proofErr w:type="spellEnd"/>
      <w:r w:rsidRPr="00E347C8">
        <w:rPr>
          <w:rFonts w:ascii="Arial" w:hAnsi="Arial"/>
          <w:szCs w:val="24"/>
        </w:rPr>
        <w:t xml:space="preserve"> V" en </w:t>
      </w:r>
      <w:proofErr w:type="spellStart"/>
      <w:r w:rsidR="00E870AF">
        <w:rPr>
          <w:rFonts w:ascii="Arial" w:hAnsi="Arial"/>
          <w:szCs w:val="24"/>
        </w:rPr>
        <w:t>Corralillo</w:t>
      </w:r>
      <w:proofErr w:type="spellEnd"/>
      <w:r w:rsidR="00E870AF">
        <w:rPr>
          <w:rFonts w:ascii="Arial" w:hAnsi="Arial"/>
          <w:szCs w:val="24"/>
        </w:rPr>
        <w:t xml:space="preserve">; Mata, en </w:t>
      </w:r>
      <w:proofErr w:type="spellStart"/>
      <w:r w:rsidR="00E870AF">
        <w:rPr>
          <w:rFonts w:ascii="Arial" w:hAnsi="Arial"/>
          <w:szCs w:val="24"/>
        </w:rPr>
        <w:t>Cifuentes</w:t>
      </w:r>
      <w:proofErr w:type="spellEnd"/>
      <w:r w:rsidR="00E870AF">
        <w:rPr>
          <w:rFonts w:ascii="Arial" w:hAnsi="Arial"/>
          <w:szCs w:val="24"/>
        </w:rPr>
        <w:t xml:space="preserve">, entre </w:t>
      </w:r>
      <w:proofErr w:type="spellStart"/>
      <w:r w:rsidR="00E870AF">
        <w:rPr>
          <w:rFonts w:ascii="Arial" w:hAnsi="Arial"/>
          <w:szCs w:val="24"/>
        </w:rPr>
        <w:t>otros</w:t>
      </w:r>
      <w:proofErr w:type="spellEnd"/>
      <w:r w:rsidR="00E870AF">
        <w:rPr>
          <w:rFonts w:ascii="Arial" w:hAnsi="Arial"/>
          <w:szCs w:val="24"/>
        </w:rPr>
        <w:t xml:space="preserve">. </w:t>
      </w:r>
      <w:r w:rsidRPr="00E347C8">
        <w:rPr>
          <w:rFonts w:ascii="Arial" w:hAnsi="Arial"/>
          <w:szCs w:val="24"/>
        </w:rPr>
        <w:t xml:space="preserve">En </w:t>
      </w:r>
      <w:proofErr w:type="spellStart"/>
      <w:r w:rsidRPr="00E347C8">
        <w:rPr>
          <w:rFonts w:ascii="Arial" w:hAnsi="Arial"/>
          <w:szCs w:val="24"/>
        </w:rPr>
        <w:t>todos</w:t>
      </w:r>
      <w:proofErr w:type="spellEnd"/>
      <w:r w:rsidRPr="00E347C8">
        <w:rPr>
          <w:rFonts w:ascii="Arial" w:hAnsi="Arial"/>
          <w:szCs w:val="24"/>
        </w:rPr>
        <w:t xml:space="preserve"> los </w:t>
      </w:r>
      <w:proofErr w:type="spellStart"/>
      <w:r w:rsidRPr="00E347C8">
        <w:rPr>
          <w:rFonts w:ascii="Arial" w:hAnsi="Arial"/>
          <w:szCs w:val="24"/>
        </w:rPr>
        <w:t>casos</w:t>
      </w:r>
      <w:proofErr w:type="spellEnd"/>
      <w:r w:rsidRPr="00E347C8">
        <w:rPr>
          <w:rFonts w:ascii="Arial" w:hAnsi="Arial"/>
          <w:szCs w:val="24"/>
        </w:rPr>
        <w:t xml:space="preserve"> los </w:t>
      </w:r>
      <w:proofErr w:type="spellStart"/>
      <w:r w:rsidRPr="00E347C8">
        <w:rPr>
          <w:rFonts w:ascii="Arial" w:hAnsi="Arial"/>
          <w:szCs w:val="24"/>
        </w:rPr>
        <w:t>residuarios</w:t>
      </w:r>
      <w:proofErr w:type="spellEnd"/>
      <w:r w:rsidR="00CA5673">
        <w:rPr>
          <w:rFonts w:ascii="Arial" w:hAnsi="Arial"/>
          <w:szCs w:val="24"/>
        </w:rPr>
        <w:t xml:space="preserve"> </w:t>
      </w:r>
      <w:proofErr w:type="spellStart"/>
      <w:r w:rsidRPr="00E347C8">
        <w:rPr>
          <w:rFonts w:ascii="Arial" w:hAnsi="Arial"/>
          <w:szCs w:val="24"/>
        </w:rPr>
        <w:t>están</w:t>
      </w:r>
      <w:proofErr w:type="spellEnd"/>
      <w:r w:rsidR="00CA5673">
        <w:rPr>
          <w:rFonts w:ascii="Arial" w:hAnsi="Arial"/>
          <w:szCs w:val="24"/>
        </w:rPr>
        <w:t xml:space="preserve"> </w:t>
      </w:r>
      <w:proofErr w:type="spellStart"/>
      <w:r w:rsidRPr="00E347C8">
        <w:rPr>
          <w:rFonts w:ascii="Arial" w:hAnsi="Arial"/>
          <w:szCs w:val="24"/>
        </w:rPr>
        <w:t>ubicados</w:t>
      </w:r>
      <w:proofErr w:type="spellEnd"/>
      <w:r w:rsidRPr="00E347C8">
        <w:rPr>
          <w:rFonts w:ascii="Arial" w:hAnsi="Arial"/>
          <w:szCs w:val="24"/>
        </w:rPr>
        <w:t xml:space="preserve"> en </w:t>
      </w:r>
      <w:r w:rsidR="00CA5673">
        <w:rPr>
          <w:rFonts w:ascii="Arial" w:hAnsi="Arial"/>
          <w:szCs w:val="24"/>
        </w:rPr>
        <w:t xml:space="preserve">areas </w:t>
      </w:r>
      <w:proofErr w:type="spellStart"/>
      <w:r w:rsidRPr="00E347C8">
        <w:rPr>
          <w:rFonts w:ascii="Arial" w:hAnsi="Arial"/>
          <w:szCs w:val="24"/>
        </w:rPr>
        <w:t>despejadas</w:t>
      </w:r>
      <w:proofErr w:type="spellEnd"/>
      <w:r w:rsidRPr="00E347C8">
        <w:rPr>
          <w:rFonts w:ascii="Arial" w:hAnsi="Arial"/>
          <w:szCs w:val="24"/>
        </w:rPr>
        <w:t xml:space="preserve">, de </w:t>
      </w:r>
      <w:proofErr w:type="spellStart"/>
      <w:r w:rsidRPr="00E347C8">
        <w:rPr>
          <w:rFonts w:ascii="Arial" w:hAnsi="Arial"/>
          <w:szCs w:val="24"/>
        </w:rPr>
        <w:t>tierras</w:t>
      </w:r>
      <w:proofErr w:type="spellEnd"/>
      <w:r w:rsidRPr="00E347C8">
        <w:rPr>
          <w:rFonts w:ascii="Arial" w:hAnsi="Arial"/>
          <w:szCs w:val="24"/>
        </w:rPr>
        <w:t xml:space="preserve"> </w:t>
      </w:r>
      <w:proofErr w:type="spellStart"/>
      <w:r w:rsidRPr="00E347C8">
        <w:rPr>
          <w:rFonts w:ascii="Arial" w:hAnsi="Arial"/>
          <w:szCs w:val="24"/>
        </w:rPr>
        <w:t>fértiles</w:t>
      </w:r>
      <w:proofErr w:type="spellEnd"/>
      <w:r w:rsidRPr="00E347C8">
        <w:rPr>
          <w:rFonts w:ascii="Arial" w:hAnsi="Arial"/>
          <w:szCs w:val="24"/>
        </w:rPr>
        <w:t xml:space="preserve"> y </w:t>
      </w:r>
      <w:proofErr w:type="spellStart"/>
      <w:r w:rsidRPr="00E347C8">
        <w:rPr>
          <w:rFonts w:ascii="Arial" w:hAnsi="Arial"/>
          <w:szCs w:val="24"/>
        </w:rPr>
        <w:t>próximos</w:t>
      </w:r>
      <w:proofErr w:type="spellEnd"/>
      <w:r w:rsidRPr="00E347C8">
        <w:rPr>
          <w:rFonts w:ascii="Arial" w:hAnsi="Arial"/>
          <w:szCs w:val="24"/>
        </w:rPr>
        <w:t xml:space="preserve"> a </w:t>
      </w:r>
      <w:proofErr w:type="spellStart"/>
      <w:r w:rsidRPr="00E347C8">
        <w:rPr>
          <w:rFonts w:ascii="Arial" w:hAnsi="Arial"/>
          <w:szCs w:val="24"/>
        </w:rPr>
        <w:t>fuentes</w:t>
      </w:r>
      <w:proofErr w:type="spellEnd"/>
      <w:r w:rsidRPr="00E347C8">
        <w:rPr>
          <w:rFonts w:ascii="Arial" w:hAnsi="Arial"/>
          <w:szCs w:val="24"/>
        </w:rPr>
        <w:t xml:space="preserve"> de agua fluvial.</w:t>
      </w:r>
      <w:r w:rsidRPr="00E347C8">
        <w:rPr>
          <w:rFonts w:ascii="Arial" w:hAnsi="Arial"/>
          <w:color w:val="auto"/>
          <w:szCs w:val="24"/>
          <w:lang w:val="es-ES_tradnl"/>
        </w:rPr>
        <w:t xml:space="preserve"> Un elemento típico en estos </w:t>
      </w:r>
      <w:proofErr w:type="spellStart"/>
      <w:r w:rsidRPr="00E347C8">
        <w:rPr>
          <w:rFonts w:ascii="Arial" w:hAnsi="Arial"/>
          <w:color w:val="auto"/>
          <w:szCs w:val="24"/>
          <w:lang w:val="es-ES_tradnl"/>
        </w:rPr>
        <w:t>residuarios</w:t>
      </w:r>
      <w:proofErr w:type="spellEnd"/>
      <w:r w:rsidRPr="00E347C8">
        <w:rPr>
          <w:rFonts w:ascii="Arial" w:hAnsi="Arial"/>
          <w:color w:val="auto"/>
          <w:szCs w:val="24"/>
          <w:lang w:val="es-ES_tradnl"/>
        </w:rPr>
        <w:t xml:space="preserve"> es la presencia de una cerámica burda, simple, sin asas, sin decoración, diferente a la de las culturas neolíticas de Cuba, así como otras herramientas.</w:t>
      </w:r>
      <w:r w:rsidR="00900CC8" w:rsidRPr="00E347C8">
        <w:rPr>
          <w:rFonts w:ascii="Arial" w:hAnsi="Arial"/>
          <w:color w:val="auto"/>
          <w:szCs w:val="24"/>
          <w:lang w:val="es-ES_tradnl"/>
        </w:rPr>
        <w:t xml:space="preserve"> Estas peculiaridades, unidas al lugar de asentamiento hacen suponer la práctica de actividades agrícolas incipientes o tempranas, nombrada por algunos como domesticación de plantas. Es notable la ausencia, hasta el momento, de fragmentos de burenes u otro artefacto de cerámica asociado a la industria del casabe, como se identifica para los grupos agricultores.</w:t>
      </w:r>
    </w:p>
    <w:p w:rsidR="00E347C8" w:rsidRPr="00E347C8" w:rsidRDefault="00E347C8" w:rsidP="006D7D1E">
      <w:pPr>
        <w:widowControl w:val="0"/>
        <w:spacing w:line="360" w:lineRule="auto"/>
        <w:ind w:left="-1134" w:right="-1135"/>
        <w:jc w:val="both"/>
        <w:rPr>
          <w:rFonts w:ascii="Arial" w:hAnsi="Arial"/>
          <w:sz w:val="24"/>
          <w:szCs w:val="24"/>
        </w:rPr>
      </w:pPr>
      <w:r w:rsidRPr="00E347C8">
        <w:rPr>
          <w:rFonts w:ascii="Arial" w:hAnsi="Arial"/>
          <w:b/>
          <w:sz w:val="24"/>
          <w:szCs w:val="24"/>
        </w:rPr>
        <w:t>2.7 Manifestaciones mágico-religiosas</w:t>
      </w:r>
    </w:p>
    <w:p w:rsidR="00E347C8" w:rsidRPr="00E347C8" w:rsidRDefault="00E347C8" w:rsidP="00862A19">
      <w:pPr>
        <w:widowControl w:val="0"/>
        <w:spacing w:line="360" w:lineRule="auto"/>
        <w:ind w:left="-1134" w:right="-1135"/>
        <w:jc w:val="both"/>
        <w:rPr>
          <w:rFonts w:ascii="Arial" w:hAnsi="Arial"/>
          <w:sz w:val="24"/>
          <w:szCs w:val="24"/>
        </w:rPr>
      </w:pPr>
      <w:r w:rsidRPr="00E347C8">
        <w:rPr>
          <w:rFonts w:ascii="Arial" w:hAnsi="Arial"/>
          <w:sz w:val="24"/>
          <w:szCs w:val="24"/>
        </w:rPr>
        <w:t xml:space="preserve"> Un aspecto a tener en cuenta en este sentido es el culto a los muertos. Para estos grupos era habitual sepultar a sus muertos, tanto en el sitio de habitación como en uno dedicado a ello, aunque es necesario especificar que en la fase temprana es donde más típico se da el uso del propio sitio habitacional como funerario.Practicaban entierros primarios y secundarios. Es significativo que en algunas ocasiones, pintaban o teñían de rojo los huesos y los acompañaban de ofrendas de alimentos, herramientas de trabajo, caracoles, pendientes, etcétera, y en algunos casos </w:t>
      </w:r>
      <w:proofErr w:type="spellStart"/>
      <w:r w:rsidRPr="00E347C8">
        <w:rPr>
          <w:rFonts w:ascii="Arial" w:hAnsi="Arial"/>
          <w:sz w:val="24"/>
          <w:szCs w:val="24"/>
        </w:rPr>
        <w:t>esferolitas</w:t>
      </w:r>
      <w:proofErr w:type="spellEnd"/>
      <w:r w:rsidRPr="00E347C8">
        <w:rPr>
          <w:rFonts w:ascii="Arial" w:hAnsi="Arial"/>
          <w:sz w:val="24"/>
          <w:szCs w:val="24"/>
        </w:rPr>
        <w:t xml:space="preserve"> (bolas líticas), lo cual parece tener relación con la edad del cadáver (según otros estudios realizados) y de hecho nos hace suponer el carácter animista de sus relaciones ilusorias con el fallecido.</w:t>
      </w:r>
    </w:p>
    <w:p w:rsidR="00E347C8" w:rsidRPr="00E347C8" w:rsidRDefault="00E347C8" w:rsidP="00862A19">
      <w:pPr>
        <w:widowControl w:val="0"/>
        <w:spacing w:line="360" w:lineRule="auto"/>
        <w:ind w:left="-1134" w:right="-1135"/>
        <w:jc w:val="both"/>
        <w:rPr>
          <w:rFonts w:ascii="Arial" w:hAnsi="Arial"/>
          <w:sz w:val="24"/>
          <w:szCs w:val="24"/>
        </w:rPr>
      </w:pPr>
      <w:r w:rsidRPr="00E347C8">
        <w:rPr>
          <w:rFonts w:ascii="Arial" w:hAnsi="Arial"/>
          <w:sz w:val="24"/>
          <w:szCs w:val="24"/>
        </w:rPr>
        <w:t xml:space="preserve">La determinación de entierros con ofrendas compuestas con restos de especies de animales, nos hace suponer creencias de tipo totémico, coincidentes con tradiciones dadas en grupos de superior desarrollo (neolítico), relacionadas con la vida material después de la muerte. </w:t>
      </w:r>
    </w:p>
    <w:p w:rsidR="00FA4811" w:rsidRDefault="00E347C8" w:rsidP="00FA4811">
      <w:pPr>
        <w:widowControl w:val="0"/>
        <w:spacing w:line="360" w:lineRule="auto"/>
        <w:ind w:left="-1134" w:right="-1135"/>
        <w:jc w:val="both"/>
        <w:rPr>
          <w:rFonts w:ascii="Arial" w:hAnsi="Arial"/>
          <w:sz w:val="24"/>
          <w:szCs w:val="24"/>
        </w:rPr>
      </w:pPr>
      <w:r w:rsidRPr="00E347C8">
        <w:rPr>
          <w:rFonts w:ascii="Arial" w:hAnsi="Arial"/>
          <w:b/>
          <w:sz w:val="24"/>
          <w:szCs w:val="24"/>
        </w:rPr>
        <w:t>PIEZAS TÍPICAS DEL MESOLÍTICO VILLACLAREÑO</w:t>
      </w:r>
    </w:p>
    <w:p w:rsidR="00F53BE8" w:rsidRDefault="00FA4811" w:rsidP="000C223B">
      <w:pPr>
        <w:widowControl w:val="0"/>
        <w:spacing w:line="360" w:lineRule="auto"/>
        <w:ind w:left="-1134" w:right="-1135"/>
        <w:jc w:val="both"/>
        <w:rPr>
          <w:rFonts w:ascii="Arial" w:hAnsi="Arial"/>
          <w:sz w:val="24"/>
          <w:szCs w:val="24"/>
        </w:rPr>
      </w:pPr>
      <w:r>
        <w:rPr>
          <w:rFonts w:ascii="Arial" w:hAnsi="Arial"/>
          <w:sz w:val="24"/>
          <w:szCs w:val="24"/>
        </w:rPr>
        <w:t xml:space="preserve">Gubia de concha, </w:t>
      </w:r>
      <w:proofErr w:type="spellStart"/>
      <w:r>
        <w:rPr>
          <w:rFonts w:ascii="Arial" w:hAnsi="Arial"/>
          <w:sz w:val="24"/>
          <w:szCs w:val="24"/>
        </w:rPr>
        <w:t>s</w:t>
      </w:r>
      <w:r w:rsidR="00E347C8" w:rsidRPr="00E347C8">
        <w:rPr>
          <w:rFonts w:ascii="Arial" w:hAnsi="Arial"/>
          <w:sz w:val="24"/>
          <w:szCs w:val="24"/>
        </w:rPr>
        <w:t>umergidores</w:t>
      </w:r>
      <w:proofErr w:type="spellEnd"/>
      <w:r w:rsidR="00E347C8" w:rsidRPr="00E347C8">
        <w:rPr>
          <w:rFonts w:ascii="Arial" w:hAnsi="Arial"/>
          <w:sz w:val="24"/>
          <w:szCs w:val="24"/>
        </w:rPr>
        <w:t xml:space="preserve"> de redes, pendientes de oliva, fragmentos de hacha petaloide y </w:t>
      </w:r>
      <w:r>
        <w:rPr>
          <w:rFonts w:ascii="Arial" w:hAnsi="Arial"/>
          <w:sz w:val="24"/>
          <w:szCs w:val="24"/>
        </w:rPr>
        <w:lastRenderedPageBreak/>
        <w:t>pulidor, fragmentos de vasija de cerámica y p</w:t>
      </w:r>
      <w:r w:rsidR="00E347C8" w:rsidRPr="00E347C8">
        <w:rPr>
          <w:rFonts w:ascii="Arial" w:hAnsi="Arial"/>
          <w:sz w:val="24"/>
          <w:szCs w:val="24"/>
        </w:rPr>
        <w:t>endiente de cuarzo y pendiente de olivas.</w:t>
      </w:r>
    </w:p>
    <w:p w:rsidR="00134E3E" w:rsidRPr="007171B5" w:rsidRDefault="00134E3E" w:rsidP="007171B5">
      <w:pPr>
        <w:widowControl w:val="0"/>
        <w:spacing w:line="360" w:lineRule="auto"/>
        <w:ind w:left="-1134" w:right="-1135"/>
        <w:jc w:val="both"/>
        <w:rPr>
          <w:rFonts w:ascii="Arial" w:hAnsi="Arial" w:cs="Arial"/>
          <w:b/>
          <w:sz w:val="24"/>
          <w:szCs w:val="24"/>
        </w:rPr>
      </w:pPr>
      <w:r w:rsidRPr="007171B5">
        <w:rPr>
          <w:rFonts w:ascii="Arial" w:hAnsi="Arial" w:cs="Arial"/>
          <w:b/>
          <w:sz w:val="24"/>
          <w:szCs w:val="24"/>
        </w:rPr>
        <w:t>CAPÍTULO 3</w:t>
      </w:r>
    </w:p>
    <w:p w:rsidR="00134E3E" w:rsidRPr="007171B5" w:rsidRDefault="00134E3E" w:rsidP="000E5F40">
      <w:pPr>
        <w:widowControl w:val="0"/>
        <w:spacing w:line="360" w:lineRule="auto"/>
        <w:ind w:left="-1134" w:right="-1135"/>
        <w:jc w:val="both"/>
        <w:rPr>
          <w:rFonts w:ascii="Arial" w:hAnsi="Arial" w:cs="Arial"/>
          <w:sz w:val="24"/>
          <w:szCs w:val="24"/>
        </w:rPr>
      </w:pPr>
      <w:r w:rsidRPr="007171B5">
        <w:rPr>
          <w:rFonts w:ascii="Arial" w:hAnsi="Arial" w:cs="Arial"/>
          <w:b/>
          <w:sz w:val="24"/>
          <w:szCs w:val="24"/>
        </w:rPr>
        <w:t>ETAPA DE ECONOMÍA PRODUCTORA. LAS COMUNIDADES NEOLÍTICAS</w:t>
      </w:r>
    </w:p>
    <w:p w:rsidR="00134E3E" w:rsidRPr="007171B5" w:rsidRDefault="008E62AE" w:rsidP="007171B5">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En la provincia de Villa Clara, según los resultados de las investigaciones actuales, los asentamientos de grupos de Economía Productora fueron muy limitados, al menos en relación con la magnitud con que se localizan en otras provincias de la gran región central, como lo son la de Cienfuegos, Sancti Spíritus y Ciego de Ávila. </w:t>
      </w:r>
    </w:p>
    <w:p w:rsidR="0072222C" w:rsidRPr="007171B5" w:rsidRDefault="0072222C" w:rsidP="00DD708A">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La pesca fue una de las actividades apropiadoras que contribuyó al completamiento de la alimentación de las Comunidades Neolíticas. Para sus labores de pesca empleaban canoas, redes, nasas, anzuelos de espinas de pescado y de conchas, conocidas con el </w:t>
      </w:r>
      <w:r w:rsidR="00A124DE">
        <w:rPr>
          <w:rFonts w:ascii="Arial" w:hAnsi="Arial" w:cs="Arial"/>
          <w:sz w:val="24"/>
          <w:szCs w:val="24"/>
        </w:rPr>
        <w:t>n</w:t>
      </w:r>
      <w:r w:rsidRPr="007171B5">
        <w:rPr>
          <w:rFonts w:ascii="Arial" w:hAnsi="Arial" w:cs="Arial"/>
          <w:sz w:val="24"/>
          <w:szCs w:val="24"/>
        </w:rPr>
        <w:t xml:space="preserve">ombre de </w:t>
      </w:r>
      <w:proofErr w:type="spellStart"/>
      <w:r w:rsidRPr="007171B5">
        <w:rPr>
          <w:rFonts w:ascii="Arial" w:hAnsi="Arial" w:cs="Arial"/>
          <w:sz w:val="24"/>
          <w:szCs w:val="24"/>
        </w:rPr>
        <w:t>atragantadores</w:t>
      </w:r>
      <w:proofErr w:type="spellEnd"/>
      <w:r w:rsidR="00DD708A">
        <w:rPr>
          <w:rFonts w:ascii="Arial" w:hAnsi="Arial" w:cs="Arial"/>
          <w:sz w:val="24"/>
          <w:szCs w:val="24"/>
        </w:rPr>
        <w:t xml:space="preserve">. </w:t>
      </w:r>
      <w:r w:rsidRPr="007171B5">
        <w:rPr>
          <w:rFonts w:ascii="Arial" w:hAnsi="Arial" w:cs="Arial"/>
          <w:sz w:val="24"/>
          <w:szCs w:val="24"/>
        </w:rPr>
        <w:t>Existen referencias acerca de la utilización del llamado pez pega o guaicán en sus actividades pesqueras. Se ataba un hilo delgado a la cola del pez, el cual se pegaba a quelonios y otros peces; llegado ese momento el pescador recogía el cordel y cobraba la pieza. De igual forma se hace referencia al conocimiento por parte del aborigen de ciertas plantas venenosas para la captura de peces, los que eran atontados con facilidad para su captura.</w:t>
      </w:r>
    </w:p>
    <w:p w:rsidR="0072222C" w:rsidRPr="007171B5" w:rsidRDefault="0072222C" w:rsidP="007171B5">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La caza de aves, reptiles, jutías y otros animales se evidencia en los restos de diferentes especies que se han podido colectar en casi todos nuestros </w:t>
      </w:r>
      <w:proofErr w:type="spellStart"/>
      <w:r w:rsidRPr="007171B5">
        <w:rPr>
          <w:rFonts w:ascii="Arial" w:hAnsi="Arial" w:cs="Arial"/>
          <w:sz w:val="24"/>
          <w:szCs w:val="24"/>
        </w:rPr>
        <w:t>residuarios</w:t>
      </w:r>
      <w:proofErr w:type="spellEnd"/>
      <w:r w:rsidRPr="007171B5">
        <w:rPr>
          <w:rFonts w:ascii="Arial" w:hAnsi="Arial" w:cs="Arial"/>
          <w:sz w:val="24"/>
          <w:szCs w:val="24"/>
        </w:rPr>
        <w:t xml:space="preserve">. Esta actividad estuvo dentro de las ocupaciones de los hombres de economía neolítica de la actual Villa Clara, lo que se atestigua en los </w:t>
      </w:r>
      <w:proofErr w:type="spellStart"/>
      <w:r w:rsidRPr="007171B5">
        <w:rPr>
          <w:rFonts w:ascii="Arial" w:hAnsi="Arial" w:cs="Arial"/>
          <w:sz w:val="24"/>
          <w:szCs w:val="24"/>
        </w:rPr>
        <w:t>residuarios</w:t>
      </w:r>
      <w:proofErr w:type="spellEnd"/>
      <w:r w:rsidRPr="007171B5">
        <w:rPr>
          <w:rFonts w:ascii="Arial" w:hAnsi="Arial" w:cs="Arial"/>
          <w:sz w:val="24"/>
          <w:szCs w:val="24"/>
        </w:rPr>
        <w:t xml:space="preserve"> arqueológicos. Para esta labor debieron construir trampas con maderas y fibras vegetales, auxiliados por los referidos perros domesticados, las macanas, azagayas, arcos y flechas.</w:t>
      </w:r>
    </w:p>
    <w:p w:rsidR="00B0463F" w:rsidRPr="007171B5" w:rsidRDefault="00B0463F" w:rsidP="00DD708A">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La presencia de un considerable número de fragmentos de cerámica en estos </w:t>
      </w:r>
      <w:proofErr w:type="spellStart"/>
      <w:r w:rsidRPr="007171B5">
        <w:rPr>
          <w:rFonts w:ascii="Arial" w:hAnsi="Arial" w:cs="Arial"/>
          <w:sz w:val="24"/>
          <w:szCs w:val="24"/>
        </w:rPr>
        <w:t>residuarios</w:t>
      </w:r>
      <w:proofErr w:type="spellEnd"/>
      <w:r w:rsidRPr="007171B5">
        <w:rPr>
          <w:rFonts w:ascii="Arial" w:hAnsi="Arial" w:cs="Arial"/>
          <w:sz w:val="24"/>
          <w:szCs w:val="24"/>
        </w:rPr>
        <w:t xml:space="preserve"> villaclareños constituye otro elemento que nos ha permitido identificarlos dentro de la economía neolítica. Las vasijas, aunque muy fragmentadas como consecuencia de las alteraciones a que han sido sometidos los sitios, han permitido clasificar los diseños y motivos empleados en la decoración del ceramio. En ellos predominan las decoraciones por incisión, con motivos geométricos</w:t>
      </w:r>
      <w:r w:rsidR="00DD708A">
        <w:rPr>
          <w:rFonts w:ascii="Arial" w:hAnsi="Arial" w:cs="Arial"/>
          <w:sz w:val="24"/>
          <w:szCs w:val="24"/>
        </w:rPr>
        <w:t xml:space="preserve">. </w:t>
      </w:r>
      <w:r w:rsidRPr="007171B5">
        <w:rPr>
          <w:rFonts w:ascii="Arial" w:hAnsi="Arial" w:cs="Arial"/>
          <w:sz w:val="24"/>
          <w:szCs w:val="24"/>
        </w:rPr>
        <w:t xml:space="preserve">Para su estudio, las vasijas se han dividido en grandes, medianas y pequeñas. Sus tamaños van desde los 300 hasta los </w:t>
      </w:r>
      <w:smartTag w:uri="urn:schemas-microsoft-com:office:smarttags" w:element="metricconverter">
        <w:smartTagPr>
          <w:attr w:name="ProductID" w:val="400 milímetros"/>
        </w:smartTagPr>
        <w:r w:rsidRPr="007171B5">
          <w:rPr>
            <w:rFonts w:ascii="Arial" w:hAnsi="Arial" w:cs="Arial"/>
            <w:sz w:val="24"/>
            <w:szCs w:val="24"/>
          </w:rPr>
          <w:t>400 milímetros</w:t>
        </w:r>
      </w:smartTag>
      <w:r w:rsidRPr="007171B5">
        <w:rPr>
          <w:rFonts w:ascii="Arial" w:hAnsi="Arial" w:cs="Arial"/>
          <w:sz w:val="24"/>
          <w:szCs w:val="24"/>
        </w:rPr>
        <w:t xml:space="preserve"> de diámetro para las primeras; </w:t>
      </w:r>
      <w:smartTag w:uri="urn:schemas-microsoft-com:office:smarttags" w:element="metricconverter">
        <w:smartTagPr>
          <w:attr w:name="ProductID" w:val="200 a"/>
        </w:smartTagPr>
        <w:r w:rsidRPr="007171B5">
          <w:rPr>
            <w:rFonts w:ascii="Arial" w:hAnsi="Arial" w:cs="Arial"/>
            <w:sz w:val="24"/>
            <w:szCs w:val="24"/>
          </w:rPr>
          <w:t>200 a</w:t>
        </w:r>
      </w:smartTag>
      <w:smartTag w:uri="urn:schemas-microsoft-com:office:smarttags" w:element="metricconverter">
        <w:smartTagPr>
          <w:attr w:name="ProductID" w:val="300 milímetros"/>
        </w:smartTagPr>
        <w:r w:rsidRPr="007171B5">
          <w:rPr>
            <w:rFonts w:ascii="Arial" w:hAnsi="Arial" w:cs="Arial"/>
            <w:sz w:val="24"/>
            <w:szCs w:val="24"/>
          </w:rPr>
          <w:t>300 milímetros</w:t>
        </w:r>
      </w:smartTag>
      <w:r w:rsidRPr="007171B5">
        <w:rPr>
          <w:rFonts w:ascii="Arial" w:hAnsi="Arial" w:cs="Arial"/>
          <w:sz w:val="24"/>
          <w:szCs w:val="24"/>
        </w:rPr>
        <w:t xml:space="preserve"> para las segundas y de </w:t>
      </w:r>
      <w:smartTag w:uri="urn:schemas-microsoft-com:office:smarttags" w:element="metricconverter">
        <w:smartTagPr>
          <w:attr w:name="ProductID" w:val="100 a"/>
        </w:smartTagPr>
        <w:r w:rsidRPr="007171B5">
          <w:rPr>
            <w:rFonts w:ascii="Arial" w:hAnsi="Arial" w:cs="Arial"/>
            <w:sz w:val="24"/>
            <w:szCs w:val="24"/>
          </w:rPr>
          <w:t>100 a</w:t>
        </w:r>
      </w:smartTag>
      <w:smartTag w:uri="urn:schemas-microsoft-com:office:smarttags" w:element="metricconverter">
        <w:smartTagPr>
          <w:attr w:name="ProductID" w:val="200 milímetros"/>
        </w:smartTagPr>
        <w:r w:rsidRPr="007171B5">
          <w:rPr>
            <w:rFonts w:ascii="Arial" w:hAnsi="Arial" w:cs="Arial"/>
            <w:sz w:val="24"/>
            <w:szCs w:val="24"/>
          </w:rPr>
          <w:t>200 milímetros</w:t>
        </w:r>
      </w:smartTag>
      <w:r w:rsidRPr="007171B5">
        <w:rPr>
          <w:rFonts w:ascii="Arial" w:hAnsi="Arial" w:cs="Arial"/>
          <w:sz w:val="24"/>
          <w:szCs w:val="24"/>
        </w:rPr>
        <w:t xml:space="preserve"> para las últimas. Por lo general, las paredes de estas vasijas son gruesas, aunque existen fragmentos finos que denotan un mayor dominio de las técnicas alfareras.La cerámica aborigen colectada en los </w:t>
      </w:r>
      <w:proofErr w:type="spellStart"/>
      <w:r w:rsidRPr="007171B5">
        <w:rPr>
          <w:rFonts w:ascii="Arial" w:hAnsi="Arial" w:cs="Arial"/>
          <w:sz w:val="24"/>
          <w:szCs w:val="24"/>
        </w:rPr>
        <w:t>residuarios</w:t>
      </w:r>
      <w:proofErr w:type="spellEnd"/>
      <w:r w:rsidRPr="007171B5">
        <w:rPr>
          <w:rFonts w:ascii="Arial" w:hAnsi="Arial" w:cs="Arial"/>
          <w:sz w:val="24"/>
          <w:szCs w:val="24"/>
        </w:rPr>
        <w:t xml:space="preserve"> villaclareños es monocroma y los distintos tonos que hoy se encuentran se deben a los tipos de barros empleados en el proceso de cocción. La utilitaria, por lo general, posee sus paredes lisas sin decoración y con asas sencillas.</w:t>
      </w:r>
    </w:p>
    <w:p w:rsidR="009C260D" w:rsidRPr="007171B5" w:rsidRDefault="009C260D" w:rsidP="009320E6">
      <w:pPr>
        <w:widowControl w:val="0"/>
        <w:spacing w:line="360" w:lineRule="auto"/>
        <w:ind w:left="-1134" w:right="-1135"/>
        <w:jc w:val="both"/>
        <w:rPr>
          <w:rFonts w:ascii="Arial" w:hAnsi="Arial" w:cs="Arial"/>
          <w:sz w:val="24"/>
          <w:szCs w:val="24"/>
        </w:rPr>
      </w:pPr>
      <w:r w:rsidRPr="007171B5">
        <w:rPr>
          <w:rFonts w:ascii="Arial" w:hAnsi="Arial" w:cs="Arial"/>
          <w:b/>
          <w:sz w:val="24"/>
          <w:szCs w:val="24"/>
        </w:rPr>
        <w:t>3.3.2 Material lítico</w:t>
      </w:r>
    </w:p>
    <w:p w:rsidR="009C260D" w:rsidRPr="007171B5" w:rsidRDefault="009C260D" w:rsidP="00DD708A">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Los útiles confeccionados con piedra fueron relativamente pocos y en su mayoría eran </w:t>
      </w:r>
      <w:r w:rsidRPr="007171B5">
        <w:rPr>
          <w:rFonts w:ascii="Arial" w:hAnsi="Arial" w:cs="Arial"/>
          <w:sz w:val="24"/>
          <w:szCs w:val="24"/>
        </w:rPr>
        <w:lastRenderedPageBreak/>
        <w:t xml:space="preserve">confeccionados mediante la talla y </w:t>
      </w:r>
      <w:proofErr w:type="spellStart"/>
      <w:r w:rsidRPr="007171B5">
        <w:rPr>
          <w:rFonts w:ascii="Arial" w:hAnsi="Arial" w:cs="Arial"/>
          <w:sz w:val="24"/>
          <w:szCs w:val="24"/>
        </w:rPr>
        <w:t>pulimentación</w:t>
      </w:r>
      <w:proofErr w:type="spellEnd"/>
      <w:r w:rsidRPr="007171B5">
        <w:rPr>
          <w:rFonts w:ascii="Arial" w:hAnsi="Arial" w:cs="Arial"/>
          <w:sz w:val="24"/>
          <w:szCs w:val="24"/>
        </w:rPr>
        <w:t xml:space="preserve">. Esta última es un elemento clave en la clasificación de la cultura objeto de estudio.Dentro del ajuar lítico de estas comunidades encontramos majadores, percutores, morteros y </w:t>
      </w:r>
      <w:proofErr w:type="spellStart"/>
      <w:r w:rsidRPr="007171B5">
        <w:rPr>
          <w:rFonts w:ascii="Arial" w:hAnsi="Arial" w:cs="Arial"/>
          <w:sz w:val="24"/>
          <w:szCs w:val="24"/>
        </w:rPr>
        <w:t>sumergidores</w:t>
      </w:r>
      <w:proofErr w:type="spellEnd"/>
      <w:r w:rsidRPr="007171B5">
        <w:rPr>
          <w:rFonts w:ascii="Arial" w:hAnsi="Arial" w:cs="Arial"/>
          <w:sz w:val="24"/>
          <w:szCs w:val="24"/>
        </w:rPr>
        <w:t xml:space="preserve"> de redes en los que se usaron guijarros naturales.</w:t>
      </w:r>
    </w:p>
    <w:p w:rsidR="009C260D" w:rsidRPr="007171B5" w:rsidRDefault="009C260D" w:rsidP="00DD708A">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El sílex fue considerablemente menos utilizado y se encuentra asociado a instrumentos de mayor complejidad como lo fueron los guayos. También se asocia a procesos de mayor precisión tecnológica como la confección de adornos en hueso, maderas, piedras, concha u otro material. En las piezas de sílex que se colectaron en nuestro territorio, predominan las lascas y puntas de pequeñas dimensiones. Las hachas petaloides constituyen todo un símbolo de las culturas neolíticas cubanas. </w:t>
      </w:r>
    </w:p>
    <w:p w:rsidR="009C260D" w:rsidRPr="00DD708A" w:rsidRDefault="009C260D" w:rsidP="00DD708A">
      <w:pPr>
        <w:widowControl w:val="0"/>
        <w:spacing w:line="360" w:lineRule="auto"/>
        <w:ind w:left="-1134" w:right="-1135"/>
        <w:jc w:val="both"/>
        <w:rPr>
          <w:rFonts w:ascii="Arial" w:hAnsi="Arial" w:cs="Arial"/>
          <w:b/>
          <w:sz w:val="24"/>
          <w:szCs w:val="24"/>
        </w:rPr>
      </w:pPr>
      <w:r w:rsidRPr="007171B5">
        <w:rPr>
          <w:rFonts w:ascii="Arial" w:hAnsi="Arial" w:cs="Arial"/>
          <w:b/>
          <w:sz w:val="24"/>
          <w:szCs w:val="24"/>
        </w:rPr>
        <w:t>3.3.3 Material de conchas</w:t>
      </w:r>
    </w:p>
    <w:p w:rsidR="009C260D" w:rsidRPr="007171B5" w:rsidRDefault="009C260D" w:rsidP="009320E6">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Para el hombre neolítico de nuestra tierra, la concha siguió representando una fuente alimenticia muy importante, así como materia prima para confeccionar sus medios de trabajo y objetos artístico-rituales. Continuaron elaborando distintos artefactos a partir de ese material, tales como gubias, picos de mano, anzuelos, raspadoras, cucharas, etcétera. Es de suponer que la aparición de la cerámica sustituyera, en parte, la utilización de las vasijas de conchas.</w:t>
      </w:r>
    </w:p>
    <w:p w:rsidR="009C260D" w:rsidRPr="009320E6" w:rsidRDefault="009C260D" w:rsidP="003D35AD">
      <w:pPr>
        <w:widowControl w:val="0"/>
        <w:spacing w:line="360" w:lineRule="auto"/>
        <w:ind w:left="-1134" w:right="-1135"/>
        <w:jc w:val="both"/>
        <w:rPr>
          <w:rFonts w:ascii="Arial" w:hAnsi="Arial" w:cs="Arial"/>
          <w:b/>
          <w:sz w:val="24"/>
          <w:szCs w:val="24"/>
        </w:rPr>
      </w:pPr>
      <w:r w:rsidRPr="007171B5">
        <w:rPr>
          <w:rFonts w:ascii="Arial" w:hAnsi="Arial" w:cs="Arial"/>
          <w:sz w:val="24"/>
          <w:szCs w:val="24"/>
        </w:rPr>
        <w:t xml:space="preserve"> Debemos decir que los raspadores confeccionadas con las conchas de las especies </w:t>
      </w:r>
      <w:proofErr w:type="spellStart"/>
      <w:r w:rsidRPr="007171B5">
        <w:rPr>
          <w:rFonts w:ascii="Arial" w:hAnsi="Arial" w:cs="Arial"/>
          <w:sz w:val="24"/>
          <w:szCs w:val="24"/>
        </w:rPr>
        <w:t>CodakiaOrbicularis</w:t>
      </w:r>
      <w:proofErr w:type="spellEnd"/>
      <w:r w:rsidRPr="007171B5">
        <w:rPr>
          <w:rFonts w:ascii="Arial" w:hAnsi="Arial" w:cs="Arial"/>
          <w:sz w:val="24"/>
          <w:szCs w:val="24"/>
        </w:rPr>
        <w:t xml:space="preserve"> y </w:t>
      </w:r>
      <w:proofErr w:type="spellStart"/>
      <w:r w:rsidRPr="007171B5">
        <w:rPr>
          <w:rFonts w:ascii="Arial" w:hAnsi="Arial" w:cs="Arial"/>
          <w:sz w:val="24"/>
          <w:szCs w:val="24"/>
        </w:rPr>
        <w:t>Phacoidespertinatus</w:t>
      </w:r>
      <w:proofErr w:type="spellEnd"/>
      <w:r w:rsidRPr="007171B5">
        <w:rPr>
          <w:rFonts w:ascii="Arial" w:hAnsi="Arial" w:cs="Arial"/>
          <w:sz w:val="24"/>
          <w:szCs w:val="24"/>
        </w:rPr>
        <w:t xml:space="preserve"> adquirieron en este período una nueva función, que era la </w:t>
      </w:r>
      <w:r w:rsidR="003D35AD">
        <w:rPr>
          <w:rFonts w:ascii="Arial" w:hAnsi="Arial" w:cs="Arial"/>
          <w:sz w:val="24"/>
          <w:szCs w:val="24"/>
        </w:rPr>
        <w:t xml:space="preserve">de raspar la corteza de la yuca. </w:t>
      </w:r>
      <w:r w:rsidRPr="007171B5">
        <w:rPr>
          <w:rFonts w:ascii="Arial" w:hAnsi="Arial" w:cs="Arial"/>
          <w:sz w:val="24"/>
          <w:szCs w:val="24"/>
        </w:rPr>
        <w:t xml:space="preserve">A este implemento el </w:t>
      </w:r>
      <w:proofErr w:type="spellStart"/>
      <w:r w:rsidRPr="007171B5">
        <w:rPr>
          <w:rFonts w:ascii="Arial" w:hAnsi="Arial" w:cs="Arial"/>
          <w:sz w:val="24"/>
          <w:szCs w:val="24"/>
        </w:rPr>
        <w:t>aborígen</w:t>
      </w:r>
      <w:proofErr w:type="spellEnd"/>
      <w:r w:rsidRPr="007171B5">
        <w:rPr>
          <w:rFonts w:ascii="Arial" w:hAnsi="Arial" w:cs="Arial"/>
          <w:sz w:val="24"/>
          <w:szCs w:val="24"/>
        </w:rPr>
        <w:t xml:space="preserve"> le nombró "</w:t>
      </w:r>
      <w:proofErr w:type="spellStart"/>
      <w:r w:rsidRPr="007171B5">
        <w:rPr>
          <w:rFonts w:ascii="Arial" w:hAnsi="Arial" w:cs="Arial"/>
          <w:sz w:val="24"/>
          <w:szCs w:val="24"/>
        </w:rPr>
        <w:t>caguara".En</w:t>
      </w:r>
      <w:proofErr w:type="spellEnd"/>
      <w:r w:rsidRPr="007171B5">
        <w:rPr>
          <w:rFonts w:ascii="Arial" w:hAnsi="Arial" w:cs="Arial"/>
          <w:sz w:val="24"/>
          <w:szCs w:val="24"/>
        </w:rPr>
        <w:t xml:space="preserve"> algunos sitios han sido colectadas puntas de proyectiles confeccionados en concha, así como hachas petaloides y buriles confe</w:t>
      </w:r>
      <w:r w:rsidR="003D35AD">
        <w:rPr>
          <w:rFonts w:ascii="Arial" w:hAnsi="Arial" w:cs="Arial"/>
          <w:sz w:val="24"/>
          <w:szCs w:val="24"/>
        </w:rPr>
        <w:t>ccionados con el manto del Cobo.</w:t>
      </w:r>
    </w:p>
    <w:p w:rsidR="009C260D" w:rsidRPr="007171B5" w:rsidRDefault="009C260D" w:rsidP="009320E6">
      <w:pPr>
        <w:widowControl w:val="0"/>
        <w:spacing w:line="360" w:lineRule="auto"/>
        <w:ind w:left="-1134" w:right="-1135"/>
        <w:jc w:val="both"/>
        <w:rPr>
          <w:rFonts w:ascii="Arial" w:hAnsi="Arial" w:cs="Arial"/>
          <w:b/>
          <w:sz w:val="24"/>
          <w:szCs w:val="24"/>
        </w:rPr>
      </w:pPr>
      <w:r w:rsidRPr="007171B5">
        <w:rPr>
          <w:rFonts w:ascii="Arial" w:hAnsi="Arial" w:cs="Arial"/>
          <w:b/>
          <w:sz w:val="24"/>
          <w:szCs w:val="24"/>
        </w:rPr>
        <w:t>3.3.4 Material de hueso y dientes</w:t>
      </w:r>
    </w:p>
    <w:p w:rsidR="009C260D" w:rsidRPr="007171B5" w:rsidRDefault="009C260D" w:rsidP="004134D4">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Las características climáticas del trópico han llevado a la destrucción de la mayor parte de las piezas que fueron confeccionadas utilizando como materia prima el hueso.</w:t>
      </w:r>
      <w:r w:rsidR="00ED5AAD">
        <w:rPr>
          <w:rFonts w:ascii="Arial" w:hAnsi="Arial" w:cs="Arial"/>
          <w:sz w:val="24"/>
          <w:szCs w:val="24"/>
        </w:rPr>
        <w:t xml:space="preserve"> </w:t>
      </w:r>
      <w:r w:rsidRPr="007171B5">
        <w:rPr>
          <w:rFonts w:ascii="Arial" w:hAnsi="Arial" w:cs="Arial"/>
          <w:sz w:val="24"/>
          <w:szCs w:val="24"/>
        </w:rPr>
        <w:t>Parte de estas piezas tales como agujas, perforadores u otras necesarias para sus tejidos y para trabajar las pieles, debieron ser confeccionadas con esqueletos de determinados animales como el manatí.También utilizaron los dientes de peces en la fabricación de sus proyectiles</w:t>
      </w:r>
      <w:r w:rsidR="004134D4">
        <w:rPr>
          <w:rFonts w:ascii="Arial" w:hAnsi="Arial" w:cs="Arial"/>
          <w:sz w:val="24"/>
          <w:szCs w:val="24"/>
        </w:rPr>
        <w:t>.</w:t>
      </w:r>
    </w:p>
    <w:p w:rsidR="009C260D" w:rsidRPr="007171B5" w:rsidRDefault="009C260D" w:rsidP="009320E6">
      <w:pPr>
        <w:widowControl w:val="0"/>
        <w:spacing w:line="360" w:lineRule="auto"/>
        <w:ind w:left="-1134" w:right="-1135"/>
        <w:jc w:val="both"/>
        <w:rPr>
          <w:rFonts w:ascii="Arial" w:hAnsi="Arial" w:cs="Arial"/>
          <w:sz w:val="24"/>
          <w:szCs w:val="24"/>
        </w:rPr>
      </w:pPr>
      <w:r w:rsidRPr="007171B5">
        <w:rPr>
          <w:rFonts w:ascii="Arial" w:hAnsi="Arial" w:cs="Arial"/>
          <w:b/>
          <w:sz w:val="24"/>
          <w:szCs w:val="24"/>
        </w:rPr>
        <w:t>3.3.5 Material de madera</w:t>
      </w:r>
    </w:p>
    <w:p w:rsidR="009C260D" w:rsidRPr="007171B5" w:rsidRDefault="009C260D" w:rsidP="009320E6">
      <w:pPr>
        <w:widowControl w:val="0"/>
        <w:spacing w:line="360" w:lineRule="auto"/>
        <w:ind w:left="-1134" w:right="-1135"/>
        <w:jc w:val="both"/>
        <w:rPr>
          <w:rFonts w:ascii="Arial" w:hAnsi="Arial" w:cs="Arial"/>
          <w:sz w:val="24"/>
          <w:szCs w:val="24"/>
        </w:rPr>
      </w:pPr>
      <w:r w:rsidRPr="007171B5">
        <w:rPr>
          <w:rFonts w:ascii="Arial" w:hAnsi="Arial" w:cs="Arial"/>
          <w:sz w:val="24"/>
          <w:szCs w:val="24"/>
        </w:rPr>
        <w:t xml:space="preserve"> Al igual que el material óseo, la madera sufre un proceso de descomposición acelerado en nuestro medio. Es por ello que las evidencias en este material son tan poco abundantes, pero siguiendo a los cronistas y aplicando la lógica más elemental, deducimos que los artefactos confeccionados con madera, debieron poseer un lugar significativo en el ajuar de los hombres del neolítico cubano.</w:t>
      </w:r>
    </w:p>
    <w:p w:rsidR="009C260D" w:rsidRPr="007171B5" w:rsidRDefault="009320E6" w:rsidP="009320E6">
      <w:pPr>
        <w:widowControl w:val="0"/>
        <w:spacing w:line="360" w:lineRule="auto"/>
        <w:ind w:left="-1134" w:right="-1135"/>
        <w:jc w:val="both"/>
        <w:rPr>
          <w:rFonts w:ascii="Arial" w:hAnsi="Arial" w:cs="Arial"/>
          <w:sz w:val="24"/>
          <w:szCs w:val="24"/>
        </w:rPr>
      </w:pPr>
      <w:r>
        <w:rPr>
          <w:rFonts w:ascii="Arial" w:hAnsi="Arial" w:cs="Arial"/>
          <w:sz w:val="24"/>
          <w:szCs w:val="24"/>
        </w:rPr>
        <w:t xml:space="preserve"> En cuanto a las viv</w:t>
      </w:r>
      <w:r w:rsidR="009C260D" w:rsidRPr="007171B5">
        <w:rPr>
          <w:rFonts w:ascii="Arial" w:hAnsi="Arial" w:cs="Arial"/>
          <w:sz w:val="24"/>
          <w:szCs w:val="24"/>
        </w:rPr>
        <w:t>iendas, ya hemos hecho alusión a su confección con madera y hojas de palmáceas.</w:t>
      </w:r>
    </w:p>
    <w:p w:rsidR="009C260D" w:rsidRPr="007171B5" w:rsidRDefault="009C260D" w:rsidP="007171B5">
      <w:pPr>
        <w:widowControl w:val="0"/>
        <w:spacing w:line="360" w:lineRule="auto"/>
        <w:ind w:left="-1134" w:right="-1135"/>
        <w:jc w:val="both"/>
        <w:rPr>
          <w:rFonts w:ascii="Arial" w:hAnsi="Arial" w:cs="Arial"/>
          <w:sz w:val="24"/>
          <w:szCs w:val="24"/>
        </w:rPr>
      </w:pPr>
      <w:r w:rsidRPr="007171B5">
        <w:rPr>
          <w:rFonts w:ascii="Arial" w:hAnsi="Arial" w:cs="Arial"/>
          <w:sz w:val="24"/>
          <w:szCs w:val="24"/>
        </w:rPr>
        <w:lastRenderedPageBreak/>
        <w:t xml:space="preserve"> Las canoas o almadías eran hechas en una sola pieza con el tronco de grandes árboles y podían tener capacidad para varios tripulantes.</w:t>
      </w:r>
    </w:p>
    <w:p w:rsidR="00B0463F" w:rsidRPr="008E62AE" w:rsidRDefault="00B0463F" w:rsidP="008E62AE">
      <w:pPr>
        <w:widowControl w:val="0"/>
        <w:jc w:val="both"/>
        <w:rPr>
          <w:rFonts w:ascii="Arial" w:hAnsi="Arial"/>
          <w:sz w:val="24"/>
          <w:szCs w:val="24"/>
        </w:rPr>
      </w:pPr>
      <w:bookmarkStart w:id="0" w:name="_GoBack"/>
      <w:bookmarkEnd w:id="0"/>
    </w:p>
    <w:sectPr w:rsidR="00B0463F" w:rsidRPr="008E62AE" w:rsidSect="00DB5D9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PS Draft">
    <w:panose1 w:val="00000000000000000000"/>
    <w:charset w:val="00"/>
    <w:family w:val="modern"/>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compat/>
  <w:rsids>
    <w:rsidRoot w:val="00795E06"/>
    <w:rsid w:val="000C223B"/>
    <w:rsid w:val="000D1F5C"/>
    <w:rsid w:val="000E5F40"/>
    <w:rsid w:val="00107527"/>
    <w:rsid w:val="00116BF1"/>
    <w:rsid w:val="00134E3E"/>
    <w:rsid w:val="001401A7"/>
    <w:rsid w:val="001C60F9"/>
    <w:rsid w:val="0023689A"/>
    <w:rsid w:val="002640AB"/>
    <w:rsid w:val="00285335"/>
    <w:rsid w:val="002A0F5F"/>
    <w:rsid w:val="002C4DDD"/>
    <w:rsid w:val="00322A60"/>
    <w:rsid w:val="00333738"/>
    <w:rsid w:val="00395C63"/>
    <w:rsid w:val="003D2BA9"/>
    <w:rsid w:val="003D35AD"/>
    <w:rsid w:val="003D6BC4"/>
    <w:rsid w:val="004134D4"/>
    <w:rsid w:val="004963FF"/>
    <w:rsid w:val="004A11E9"/>
    <w:rsid w:val="004D36D7"/>
    <w:rsid w:val="005801D4"/>
    <w:rsid w:val="005E2F8B"/>
    <w:rsid w:val="005E48CA"/>
    <w:rsid w:val="005F5B88"/>
    <w:rsid w:val="006763EE"/>
    <w:rsid w:val="006A690B"/>
    <w:rsid w:val="006D094D"/>
    <w:rsid w:val="006D7D1E"/>
    <w:rsid w:val="007171B5"/>
    <w:rsid w:val="0072222C"/>
    <w:rsid w:val="00792944"/>
    <w:rsid w:val="00795E06"/>
    <w:rsid w:val="007D3953"/>
    <w:rsid w:val="007F16BF"/>
    <w:rsid w:val="00862A19"/>
    <w:rsid w:val="008C1C2C"/>
    <w:rsid w:val="008C2FD1"/>
    <w:rsid w:val="008E62AE"/>
    <w:rsid w:val="00900CC8"/>
    <w:rsid w:val="00904F87"/>
    <w:rsid w:val="009232D8"/>
    <w:rsid w:val="009320E6"/>
    <w:rsid w:val="00967FF9"/>
    <w:rsid w:val="009C260D"/>
    <w:rsid w:val="00A124DE"/>
    <w:rsid w:val="00AB1489"/>
    <w:rsid w:val="00AD79E1"/>
    <w:rsid w:val="00AF58B5"/>
    <w:rsid w:val="00B0463F"/>
    <w:rsid w:val="00B64905"/>
    <w:rsid w:val="00B8444F"/>
    <w:rsid w:val="00B86F66"/>
    <w:rsid w:val="00C10E09"/>
    <w:rsid w:val="00C65277"/>
    <w:rsid w:val="00CA5673"/>
    <w:rsid w:val="00CC4369"/>
    <w:rsid w:val="00D01AF4"/>
    <w:rsid w:val="00D10112"/>
    <w:rsid w:val="00D739F2"/>
    <w:rsid w:val="00DA109E"/>
    <w:rsid w:val="00DB1EAC"/>
    <w:rsid w:val="00DB5D98"/>
    <w:rsid w:val="00DD708A"/>
    <w:rsid w:val="00E11F5E"/>
    <w:rsid w:val="00E33113"/>
    <w:rsid w:val="00E347C8"/>
    <w:rsid w:val="00E460B3"/>
    <w:rsid w:val="00E7232A"/>
    <w:rsid w:val="00E870AF"/>
    <w:rsid w:val="00E96227"/>
    <w:rsid w:val="00ED5AAD"/>
    <w:rsid w:val="00F51A5F"/>
    <w:rsid w:val="00F53BE8"/>
    <w:rsid w:val="00FA4811"/>
    <w:rsid w:val="00FE59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C63"/>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1">
    <w:name w:val="Texto independiente1"/>
    <w:rsid w:val="00395C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9360"/>
      <w:jc w:val="right"/>
    </w:pPr>
    <w:rPr>
      <w:rFonts w:ascii="NPS Draft" w:eastAsia="Times New Roman" w:hAnsi="NPS Draft" w:cs="Times New Roman"/>
      <w:color w:val="000000"/>
      <w:sz w:val="24"/>
      <w:szCs w:val="20"/>
      <w:lang w:val="en-US" w:eastAsia="es-ES"/>
    </w:rPr>
  </w:style>
  <w:style w:type="paragraph" w:customStyle="1" w:styleId="Textoindependiente2">
    <w:name w:val="Texto independiente2"/>
    <w:rsid w:val="004A11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9360"/>
      <w:jc w:val="right"/>
    </w:pPr>
    <w:rPr>
      <w:rFonts w:ascii="NPS Draft" w:eastAsia="Times New Roman" w:hAnsi="NPS Draft" w:cs="Times New Roman"/>
      <w:color w:val="000000"/>
      <w:sz w:val="24"/>
      <w:szCs w:val="20"/>
      <w:lang w:val="en-US" w:eastAsia="es-ES"/>
    </w:rPr>
  </w:style>
  <w:style w:type="paragraph" w:customStyle="1" w:styleId="Textoindependiente3">
    <w:name w:val="Texto independiente3"/>
    <w:rsid w:val="00D01A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9360"/>
      <w:jc w:val="right"/>
    </w:pPr>
    <w:rPr>
      <w:rFonts w:ascii="NPS Draft" w:eastAsia="Times New Roman" w:hAnsi="NPS Draft" w:cs="Times New Roman"/>
      <w:color w:val="000000"/>
      <w:sz w:val="24"/>
      <w:szCs w:val="20"/>
      <w:lang w:val="en-US"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2304</Words>
  <Characters>12674</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74</cp:revision>
  <dcterms:created xsi:type="dcterms:W3CDTF">2019-09-29T00:35:00Z</dcterms:created>
  <dcterms:modified xsi:type="dcterms:W3CDTF">2022-09-07T20:17:00Z</dcterms:modified>
</cp:coreProperties>
</file>